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6F" w:rsidRPr="00E80941" w:rsidRDefault="00CB376F" w:rsidP="00CB376F">
      <w:pPr>
        <w:pStyle w:val="GvdeMetni"/>
        <w:ind w:right="-852"/>
        <w:jc w:val="both"/>
      </w:pPr>
    </w:p>
    <w:p w:rsidR="00CB376F" w:rsidRPr="00E80941" w:rsidRDefault="00CB376F" w:rsidP="00CB376F">
      <w:pPr>
        <w:pStyle w:val="GvdeMetni"/>
        <w:ind w:right="-852"/>
        <w:jc w:val="both"/>
      </w:pPr>
    </w:p>
    <w:p w:rsidR="003C2BF0" w:rsidRPr="00E80941" w:rsidRDefault="003C2BF0" w:rsidP="00CB376F">
      <w:pPr>
        <w:pStyle w:val="GvdeMetni"/>
        <w:ind w:right="-852"/>
        <w:jc w:val="both"/>
      </w:pPr>
    </w:p>
    <w:p w:rsidR="003C2BF0" w:rsidRPr="00E80941" w:rsidRDefault="003C2BF0" w:rsidP="00CB376F">
      <w:pPr>
        <w:pStyle w:val="GvdeMetni"/>
        <w:ind w:right="-852"/>
        <w:jc w:val="both"/>
      </w:pPr>
    </w:p>
    <w:p w:rsidR="00CB376F" w:rsidRPr="00E80941" w:rsidRDefault="00CB376F" w:rsidP="00CB376F">
      <w:pPr>
        <w:jc w:val="center"/>
        <w:rPr>
          <w:b/>
        </w:rPr>
      </w:pPr>
      <w:r w:rsidRPr="00E80941">
        <w:rPr>
          <w:b/>
        </w:rPr>
        <w:t>AKARYAKIT ŞARTNAMESİ</w:t>
      </w:r>
    </w:p>
    <w:p w:rsidR="00CB376F" w:rsidRPr="00E80941" w:rsidRDefault="00CB376F" w:rsidP="00CB376F">
      <w:pPr>
        <w:jc w:val="center"/>
        <w:rPr>
          <w:b/>
        </w:rPr>
      </w:pPr>
    </w:p>
    <w:p w:rsidR="00CB376F" w:rsidRPr="00E80941" w:rsidRDefault="00CB376F" w:rsidP="00CB376F">
      <w:pPr>
        <w:numPr>
          <w:ilvl w:val="0"/>
          <w:numId w:val="1"/>
        </w:numPr>
        <w:jc w:val="both"/>
      </w:pPr>
      <w:r w:rsidRPr="00E80941">
        <w:t>Fakültemiz hizmet araçlarında</w:t>
      </w:r>
      <w:r w:rsidR="00181D78" w:rsidRPr="00E80941">
        <w:t xml:space="preserve"> ve </w:t>
      </w:r>
      <w:r w:rsidRPr="00E80941">
        <w:t>tarım araçları</w:t>
      </w:r>
      <w:r w:rsidR="00181D78" w:rsidRPr="00E80941">
        <w:t>nda</w:t>
      </w:r>
      <w:r w:rsidR="00E476FA" w:rsidRPr="00E80941">
        <w:t xml:space="preserve"> </w:t>
      </w:r>
      <w:r w:rsidRPr="00E80941">
        <w:t>kullanılmak üzere TSE Standartlarına uygun</w:t>
      </w:r>
      <w:r w:rsidR="00181D78" w:rsidRPr="00E80941">
        <w:t xml:space="preserve"> </w:t>
      </w:r>
      <w:r w:rsidR="002D39CF" w:rsidRPr="00E80941">
        <w:t>M</w:t>
      </w:r>
      <w:r w:rsidRPr="00E80941">
        <w:t>otorin ihtiyaca göre</w:t>
      </w:r>
      <w:r w:rsidR="00E476FA" w:rsidRPr="00E80941">
        <w:t xml:space="preserve"> </w:t>
      </w:r>
      <w:r w:rsidRPr="00E80941">
        <w:t>peyderpey alınacaktır.</w:t>
      </w:r>
    </w:p>
    <w:p w:rsidR="00CB376F" w:rsidRPr="00E80941" w:rsidRDefault="00CB376F" w:rsidP="00CB376F">
      <w:pPr>
        <w:ind w:left="360"/>
        <w:jc w:val="both"/>
      </w:pPr>
    </w:p>
    <w:p w:rsidR="00CB376F" w:rsidRPr="00E80941" w:rsidRDefault="00761601" w:rsidP="00CB376F">
      <w:pPr>
        <w:numPr>
          <w:ilvl w:val="0"/>
          <w:numId w:val="1"/>
        </w:numPr>
        <w:jc w:val="both"/>
      </w:pPr>
      <w:r>
        <w:t>Taşıtlar</w:t>
      </w:r>
      <w:r w:rsidR="00A32373">
        <w:t xml:space="preserve"> </w:t>
      </w:r>
      <w:r>
        <w:t xml:space="preserve">ve Traktörler </w:t>
      </w:r>
      <w:r w:rsidR="00CB376F" w:rsidRPr="00E80941">
        <w:t xml:space="preserve">için; günlük olarak “Akaryakıt İstek Fişi” karşılığında akaryakıt istasyonu pompasından taşıtımızın deposuna </w:t>
      </w:r>
      <w:proofErr w:type="spellStart"/>
      <w:r w:rsidR="00431C6D">
        <w:t>peyder</w:t>
      </w:r>
      <w:proofErr w:type="spellEnd"/>
      <w:r w:rsidR="00431C6D">
        <w:t xml:space="preserve"> pey yaklaşık </w:t>
      </w:r>
      <w:r w:rsidR="003578D4">
        <w:rPr>
          <w:b/>
        </w:rPr>
        <w:t>9.</w:t>
      </w:r>
      <w:r w:rsidR="00431C6D" w:rsidRPr="00431C6D">
        <w:rPr>
          <w:b/>
        </w:rPr>
        <w:t>000 Litre</w:t>
      </w:r>
      <w:r w:rsidR="00431C6D">
        <w:t xml:space="preserve"> </w:t>
      </w:r>
      <w:r w:rsidR="00431C6D" w:rsidRPr="00431C6D">
        <w:rPr>
          <w:b/>
        </w:rPr>
        <w:t>motorin</w:t>
      </w:r>
      <w:r w:rsidR="00431C6D">
        <w:t xml:space="preserve"> </w:t>
      </w:r>
      <w:r w:rsidR="00CB376F" w:rsidRPr="00E80941">
        <w:t>akaryakıt dolumu şeklinde</w:t>
      </w:r>
      <w:r w:rsidR="00431C6D">
        <w:t xml:space="preserve"> </w:t>
      </w:r>
      <w:r w:rsidR="0081002C" w:rsidRPr="00E80941">
        <w:t>ve tarım ar</w:t>
      </w:r>
      <w:r w:rsidR="00431C6D">
        <w:t xml:space="preserve">açlarında kullanılacak yaklaşık </w:t>
      </w:r>
      <w:r w:rsidR="00797D8D">
        <w:rPr>
          <w:b/>
        </w:rPr>
        <w:t>6</w:t>
      </w:r>
      <w:r w:rsidR="00431C6D">
        <w:rPr>
          <w:b/>
        </w:rPr>
        <w:t>.</w:t>
      </w:r>
      <w:r w:rsidR="00837910" w:rsidRPr="00E80941">
        <w:rPr>
          <w:b/>
        </w:rPr>
        <w:t>0</w:t>
      </w:r>
      <w:r w:rsidR="0081002C" w:rsidRPr="00E80941">
        <w:rPr>
          <w:b/>
        </w:rPr>
        <w:t xml:space="preserve">00 litre </w:t>
      </w:r>
      <w:r w:rsidR="00E476FA" w:rsidRPr="00E80941">
        <w:rPr>
          <w:b/>
        </w:rPr>
        <w:t>m</w:t>
      </w:r>
      <w:r w:rsidR="00CB376F" w:rsidRPr="00E80941">
        <w:rPr>
          <w:b/>
        </w:rPr>
        <w:t>otorin</w:t>
      </w:r>
      <w:r w:rsidR="00CB376F" w:rsidRPr="00E80941">
        <w:t xml:space="preserve"> Fakültemiz ambarına akaryakıt istek fişi karşılığında yapılacaktır.</w:t>
      </w:r>
    </w:p>
    <w:p w:rsidR="00CB376F" w:rsidRPr="00E80941" w:rsidRDefault="00CB376F" w:rsidP="00CB376F">
      <w:pPr>
        <w:jc w:val="both"/>
      </w:pPr>
    </w:p>
    <w:p w:rsidR="00CB376F" w:rsidRPr="00E80941" w:rsidRDefault="00CB376F" w:rsidP="00CB376F">
      <w:pPr>
        <w:numPr>
          <w:ilvl w:val="0"/>
          <w:numId w:val="1"/>
        </w:numPr>
        <w:jc w:val="both"/>
      </w:pPr>
      <w:r w:rsidRPr="00E80941">
        <w:t>Akaryakıt istek fişi seri numaralı olacak ve alınacak akaryakıtın cinsi, miktarı, birim fiyatı ve tutarı akaryakıt doldurulan taşıtın plaka numarası, kilometresi, akaryakıtın alındığı tarih, teslim alanın ve teslim edenin adı, soyadı, imzası vb. bilgileri içerir şekilde iki nüsha (1 asıl, 1 suret) olarak düzenlenecektir. Akaryakıt alımlarında “Akaryakıt İstek Fişinin” aslı Fakültemizde, sureti ise yüklenici firmada kalacaktır.</w:t>
      </w:r>
    </w:p>
    <w:p w:rsidR="00CB376F" w:rsidRPr="00E80941" w:rsidRDefault="00CB376F" w:rsidP="00CB376F">
      <w:pPr>
        <w:jc w:val="both"/>
      </w:pPr>
    </w:p>
    <w:p w:rsidR="00761601" w:rsidRDefault="00761601" w:rsidP="00CB376F">
      <w:pPr>
        <w:numPr>
          <w:ilvl w:val="0"/>
          <w:numId w:val="1"/>
        </w:numPr>
        <w:jc w:val="both"/>
      </w:pPr>
      <w:r>
        <w:t xml:space="preserve">Fakültemiz 2 hizmet aracı ile 3 tarım traktörü için ayrı </w:t>
      </w:r>
      <w:proofErr w:type="spellStart"/>
      <w:r>
        <w:t>ayrı</w:t>
      </w:r>
      <w:proofErr w:type="spellEnd"/>
      <w:r>
        <w:t xml:space="preserve"> akaryakıt kartı tahsis edilecektir. Araçlara akaryakıt istasyonunun dışında yakıt alımına açılacaktır.</w:t>
      </w:r>
    </w:p>
    <w:p w:rsidR="00761601" w:rsidRDefault="00761601" w:rsidP="00761601">
      <w:pPr>
        <w:ind w:left="720"/>
        <w:jc w:val="both"/>
      </w:pPr>
    </w:p>
    <w:p w:rsidR="00CB376F" w:rsidRPr="00E80941" w:rsidRDefault="00CB376F" w:rsidP="00CB376F">
      <w:pPr>
        <w:numPr>
          <w:ilvl w:val="0"/>
          <w:numId w:val="1"/>
        </w:numPr>
        <w:jc w:val="both"/>
      </w:pPr>
      <w:r w:rsidRPr="00E80941">
        <w:t>Yüklenici firma Fakültemizce ihtiyaç duyulan akaryakıtın alımını aksattığı takdirde, ihtiyaç duyulan akaryakıt başka bir yerden satın alınır. Bu alımdan doğacak fiyat farkı, hüküm almaya gerek kalmaksızın yüklenici firmadan tahsil edilecektir.</w:t>
      </w:r>
    </w:p>
    <w:p w:rsidR="00CB376F" w:rsidRPr="00E80941" w:rsidRDefault="00CB376F" w:rsidP="00CB376F">
      <w:pPr>
        <w:jc w:val="both"/>
      </w:pPr>
    </w:p>
    <w:p w:rsidR="00CB376F" w:rsidRPr="00E80941" w:rsidRDefault="00CB376F" w:rsidP="00CB376F">
      <w:pPr>
        <w:numPr>
          <w:ilvl w:val="0"/>
          <w:numId w:val="1"/>
        </w:numPr>
        <w:jc w:val="both"/>
      </w:pPr>
      <w:r w:rsidRPr="00E80941">
        <w:t>Fakültemiz ambarına teslim alınacak akaryakıta marker raporu istenecektir. Marker raporu olumlu ise akaryakıt teslim alınacaktır. Olumsuz çıkması durumunda akaryakıt teslim alınmayacaktır. Araçların depolarına alınan akaryakıttan gerekli görüldüğü durumlarda numune alınarak ücreti yükleniciye ait olmak üzere, akaryakıtın TSE standartlarına uygun olup olmadığının tespiti için laboratuar tahlilleri yaptırmakla yetkilidir. Laboratuar tahlilleri neticesinde TSE Standartlarına uygun olmadığı tespit edilen akaryakıtın bedeli ödenmeyeceği gibi, yükleniciden sözleşme bedelinin %05 (Binde beşi) oranında ceza tahsil edilecektir. Ayrıca sözleşme gereği yasal işlem yapılacaktır.</w:t>
      </w:r>
    </w:p>
    <w:p w:rsidR="00CB376F" w:rsidRPr="00E80941" w:rsidRDefault="00CB376F" w:rsidP="00CB376F">
      <w:pPr>
        <w:jc w:val="both"/>
      </w:pPr>
    </w:p>
    <w:p w:rsidR="00CB376F" w:rsidRPr="00E80941" w:rsidRDefault="00CB376F" w:rsidP="00CB376F">
      <w:pPr>
        <w:numPr>
          <w:ilvl w:val="0"/>
          <w:numId w:val="1"/>
        </w:numPr>
        <w:jc w:val="both"/>
      </w:pPr>
      <w:r w:rsidRPr="00E80941">
        <w:t>Fakültemize ait taşıtın ay içerisinde alınan akaryakıtlarının bedeli ay sonunda kesilecek faturanın tahakkuka bağlanmasından sonra ilgili bütçe saymanlığınca Türk Lirası (TL) cinsinden ödenecektir.</w:t>
      </w:r>
    </w:p>
    <w:p w:rsidR="00CB376F" w:rsidRPr="00E80941" w:rsidRDefault="00CB376F" w:rsidP="00CB376F">
      <w:pPr>
        <w:jc w:val="both"/>
      </w:pPr>
    </w:p>
    <w:p w:rsidR="00CB376F" w:rsidRPr="00E80941" w:rsidRDefault="00CB376F" w:rsidP="00CB376F">
      <w:pPr>
        <w:numPr>
          <w:ilvl w:val="0"/>
          <w:numId w:val="1"/>
        </w:numPr>
        <w:jc w:val="both"/>
      </w:pPr>
      <w:r w:rsidRPr="00E80941">
        <w:t>Fakültemize ait taşıtın “Akaryakıt İstek Fişinin” Fakültemizde kalan nüshaları ile yüklenicide kalan suretleri karşılaştırılarak mutabakat sağlanacak, mutabakatsızlık halinde Fakültemizin lehine olan durum uygulanacaktır.</w:t>
      </w:r>
    </w:p>
    <w:p w:rsidR="00CB376F" w:rsidRPr="00E80941" w:rsidRDefault="00CB376F" w:rsidP="007F11C3">
      <w:pPr>
        <w:jc w:val="both"/>
      </w:pPr>
      <w:r w:rsidRPr="00E80941">
        <w:t>.</w:t>
      </w:r>
    </w:p>
    <w:p w:rsidR="00CB376F" w:rsidRPr="00E80941" w:rsidRDefault="00CB376F" w:rsidP="00CB376F">
      <w:pPr>
        <w:jc w:val="both"/>
      </w:pPr>
    </w:p>
    <w:p w:rsidR="00CB376F" w:rsidRPr="00E80941" w:rsidRDefault="00CB376F" w:rsidP="00CB376F">
      <w:pPr>
        <w:numPr>
          <w:ilvl w:val="0"/>
          <w:numId w:val="1"/>
        </w:numPr>
        <w:jc w:val="both"/>
      </w:pPr>
      <w:r w:rsidRPr="00E80941">
        <w:t>Yükleniciye yürürlükteki Bakanlar Kurulu fiyat farkı kararnamesi hükümler</w:t>
      </w:r>
      <w:r w:rsidR="007F11C3" w:rsidRPr="00E80941">
        <w:t>ine göre “Fiyat Farkı” verilec</w:t>
      </w:r>
      <w:r w:rsidRPr="00E80941">
        <w:t>ektir.</w:t>
      </w:r>
    </w:p>
    <w:p w:rsidR="00CB376F" w:rsidRPr="00E80941" w:rsidRDefault="00CB376F" w:rsidP="00CB376F">
      <w:pPr>
        <w:jc w:val="both"/>
      </w:pPr>
    </w:p>
    <w:p w:rsidR="00CB376F" w:rsidRPr="00E80941" w:rsidRDefault="00CB376F" w:rsidP="00CB376F">
      <w:pPr>
        <w:numPr>
          <w:ilvl w:val="0"/>
          <w:numId w:val="1"/>
        </w:numPr>
        <w:jc w:val="both"/>
      </w:pPr>
      <w:r w:rsidRPr="00E80941">
        <w:t>Taahhüdün yerine getirilmesine ilişkin ödenecek her türlü vergi (KDV hariç), resim, harç, damga ve benzeri giderler yükleniciye aittir.</w:t>
      </w:r>
    </w:p>
    <w:p w:rsidR="00CB376F" w:rsidRPr="00E80941" w:rsidRDefault="00CB376F" w:rsidP="00CB376F">
      <w:pPr>
        <w:jc w:val="both"/>
      </w:pPr>
    </w:p>
    <w:p w:rsidR="00CB376F" w:rsidRDefault="00CB376F" w:rsidP="00CB376F">
      <w:pPr>
        <w:rPr>
          <w:szCs w:val="19"/>
        </w:rPr>
      </w:pPr>
    </w:p>
    <w:p w:rsidR="00A90F6E" w:rsidRDefault="00A90F6E" w:rsidP="00CB376F">
      <w:pPr>
        <w:rPr>
          <w:szCs w:val="19"/>
        </w:rPr>
      </w:pPr>
    </w:p>
    <w:sectPr w:rsidR="00A90F6E" w:rsidSect="00E80941">
      <w:pgSz w:w="11906" w:h="16838"/>
      <w:pgMar w:top="180" w:right="1286"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CC4" w:rsidRDefault="00F20CC4" w:rsidP="006137E7">
      <w:r>
        <w:separator/>
      </w:r>
    </w:p>
  </w:endnote>
  <w:endnote w:type="continuationSeparator" w:id="0">
    <w:p w:rsidR="00F20CC4" w:rsidRDefault="00F20CC4" w:rsidP="00613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CC4" w:rsidRDefault="00F20CC4" w:rsidP="006137E7">
      <w:r>
        <w:separator/>
      </w:r>
    </w:p>
  </w:footnote>
  <w:footnote w:type="continuationSeparator" w:id="0">
    <w:p w:rsidR="00F20CC4" w:rsidRDefault="00F20CC4" w:rsidP="00613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90A34"/>
    <w:multiLevelType w:val="hybridMultilevel"/>
    <w:tmpl w:val="8166C94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48A3D78"/>
    <w:multiLevelType w:val="hybridMultilevel"/>
    <w:tmpl w:val="F42829B6"/>
    <w:lvl w:ilvl="0" w:tplc="52C23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A64FC"/>
    <w:rsid w:val="00050793"/>
    <w:rsid w:val="00075140"/>
    <w:rsid w:val="00087067"/>
    <w:rsid w:val="000A3561"/>
    <w:rsid w:val="000B47FA"/>
    <w:rsid w:val="000B7662"/>
    <w:rsid w:val="0011292A"/>
    <w:rsid w:val="00142908"/>
    <w:rsid w:val="001578C3"/>
    <w:rsid w:val="0017567B"/>
    <w:rsid w:val="00181D78"/>
    <w:rsid w:val="00224D29"/>
    <w:rsid w:val="00250307"/>
    <w:rsid w:val="002548AB"/>
    <w:rsid w:val="002B6D45"/>
    <w:rsid w:val="002C1678"/>
    <w:rsid w:val="002D39CF"/>
    <w:rsid w:val="002E0673"/>
    <w:rsid w:val="0034219F"/>
    <w:rsid w:val="003578D4"/>
    <w:rsid w:val="0039431D"/>
    <w:rsid w:val="003A18EE"/>
    <w:rsid w:val="003C2BF0"/>
    <w:rsid w:val="003F53D5"/>
    <w:rsid w:val="00431C6D"/>
    <w:rsid w:val="0043777D"/>
    <w:rsid w:val="004511A6"/>
    <w:rsid w:val="004833BC"/>
    <w:rsid w:val="004869B0"/>
    <w:rsid w:val="004A2215"/>
    <w:rsid w:val="004A64FC"/>
    <w:rsid w:val="004D036F"/>
    <w:rsid w:val="004D31C3"/>
    <w:rsid w:val="004E18BF"/>
    <w:rsid w:val="004F09A0"/>
    <w:rsid w:val="00510B6A"/>
    <w:rsid w:val="00573882"/>
    <w:rsid w:val="005748F9"/>
    <w:rsid w:val="005E5D9A"/>
    <w:rsid w:val="006137E7"/>
    <w:rsid w:val="006A5233"/>
    <w:rsid w:val="006D1222"/>
    <w:rsid w:val="00717609"/>
    <w:rsid w:val="00761601"/>
    <w:rsid w:val="007974CB"/>
    <w:rsid w:val="00797D8D"/>
    <w:rsid w:val="007F11C3"/>
    <w:rsid w:val="00806119"/>
    <w:rsid w:val="0081002C"/>
    <w:rsid w:val="00837910"/>
    <w:rsid w:val="00841B46"/>
    <w:rsid w:val="008445E1"/>
    <w:rsid w:val="00846D6E"/>
    <w:rsid w:val="00854D38"/>
    <w:rsid w:val="008A23BE"/>
    <w:rsid w:val="0092405A"/>
    <w:rsid w:val="009475EB"/>
    <w:rsid w:val="00947A79"/>
    <w:rsid w:val="009945A6"/>
    <w:rsid w:val="009B6624"/>
    <w:rsid w:val="00A32373"/>
    <w:rsid w:val="00A35A51"/>
    <w:rsid w:val="00A725F4"/>
    <w:rsid w:val="00A90F6E"/>
    <w:rsid w:val="00AE292C"/>
    <w:rsid w:val="00AE5AF3"/>
    <w:rsid w:val="00B04B12"/>
    <w:rsid w:val="00B17D21"/>
    <w:rsid w:val="00BA76A5"/>
    <w:rsid w:val="00BB206F"/>
    <w:rsid w:val="00BF0F37"/>
    <w:rsid w:val="00C34144"/>
    <w:rsid w:val="00C56599"/>
    <w:rsid w:val="00CB376F"/>
    <w:rsid w:val="00D01F2B"/>
    <w:rsid w:val="00D04074"/>
    <w:rsid w:val="00D218A0"/>
    <w:rsid w:val="00D2394D"/>
    <w:rsid w:val="00D42506"/>
    <w:rsid w:val="00D6332C"/>
    <w:rsid w:val="00D76CAA"/>
    <w:rsid w:val="00D86F18"/>
    <w:rsid w:val="00D94224"/>
    <w:rsid w:val="00DA6CB3"/>
    <w:rsid w:val="00DC30F0"/>
    <w:rsid w:val="00DE19BD"/>
    <w:rsid w:val="00E42B17"/>
    <w:rsid w:val="00E43D54"/>
    <w:rsid w:val="00E476FA"/>
    <w:rsid w:val="00E607E9"/>
    <w:rsid w:val="00E74ECF"/>
    <w:rsid w:val="00E80941"/>
    <w:rsid w:val="00E85A98"/>
    <w:rsid w:val="00E87B02"/>
    <w:rsid w:val="00EA7C15"/>
    <w:rsid w:val="00F20CC4"/>
    <w:rsid w:val="00F2281A"/>
    <w:rsid w:val="00F45FFA"/>
    <w:rsid w:val="00F60FFE"/>
    <w:rsid w:val="00F728C0"/>
    <w:rsid w:val="00FB1F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F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A64FC"/>
    <w:pPr>
      <w:ind w:right="-1188"/>
    </w:pPr>
    <w:rPr>
      <w:sz w:val="22"/>
      <w:szCs w:val="22"/>
    </w:rPr>
  </w:style>
  <w:style w:type="character" w:customStyle="1" w:styleId="GvdeMetniChar">
    <w:name w:val="Gövde Metni Char"/>
    <w:basedOn w:val="VarsaylanParagrafYazTipi"/>
    <w:link w:val="GvdeMetni"/>
    <w:rsid w:val="004A64FC"/>
    <w:rPr>
      <w:rFonts w:ascii="Times New Roman" w:eastAsia="Times New Roman" w:hAnsi="Times New Roman" w:cs="Times New Roman"/>
      <w:lang w:eastAsia="tr-TR"/>
    </w:rPr>
  </w:style>
  <w:style w:type="paragraph" w:styleId="Altbilgi">
    <w:name w:val="footer"/>
    <w:basedOn w:val="Normal"/>
    <w:link w:val="AltbilgiChar"/>
    <w:uiPriority w:val="99"/>
    <w:semiHidden/>
    <w:unhideWhenUsed/>
    <w:rsid w:val="00BF0F37"/>
    <w:pPr>
      <w:tabs>
        <w:tab w:val="center" w:pos="4536"/>
        <w:tab w:val="right" w:pos="9072"/>
      </w:tabs>
    </w:pPr>
  </w:style>
  <w:style w:type="character" w:customStyle="1" w:styleId="AltbilgiChar">
    <w:name w:val="Altbilgi Char"/>
    <w:basedOn w:val="VarsaylanParagrafYazTipi"/>
    <w:link w:val="Altbilgi"/>
    <w:uiPriority w:val="99"/>
    <w:semiHidden/>
    <w:rsid w:val="00BF0F3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0F37"/>
    <w:pPr>
      <w:ind w:left="720"/>
      <w:contextualSpacing/>
    </w:pPr>
  </w:style>
  <w:style w:type="paragraph" w:styleId="stbilgi">
    <w:name w:val="header"/>
    <w:basedOn w:val="Normal"/>
    <w:link w:val="stbilgiChar"/>
    <w:uiPriority w:val="99"/>
    <w:semiHidden/>
    <w:unhideWhenUsed/>
    <w:rsid w:val="00E43D54"/>
    <w:pPr>
      <w:tabs>
        <w:tab w:val="center" w:pos="4536"/>
        <w:tab w:val="right" w:pos="9072"/>
      </w:tabs>
    </w:pPr>
  </w:style>
  <w:style w:type="character" w:customStyle="1" w:styleId="stbilgiChar">
    <w:name w:val="Üstbilgi Char"/>
    <w:basedOn w:val="VarsaylanParagrafYazTipi"/>
    <w:link w:val="stbilgi"/>
    <w:uiPriority w:val="99"/>
    <w:semiHidden/>
    <w:rsid w:val="00E43D5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578D4"/>
    <w:rPr>
      <w:rFonts w:ascii="Tahoma" w:hAnsi="Tahoma" w:cs="Tahoma"/>
      <w:sz w:val="16"/>
      <w:szCs w:val="16"/>
    </w:rPr>
  </w:style>
  <w:style w:type="character" w:customStyle="1" w:styleId="BalonMetniChar">
    <w:name w:val="Balon Metni Char"/>
    <w:basedOn w:val="VarsaylanParagrafYazTipi"/>
    <w:link w:val="BalonMetni"/>
    <w:uiPriority w:val="99"/>
    <w:semiHidden/>
    <w:rsid w:val="003578D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38231">
      <w:bodyDiv w:val="1"/>
      <w:marLeft w:val="0"/>
      <w:marRight w:val="0"/>
      <w:marTop w:val="0"/>
      <w:marBottom w:val="0"/>
      <w:divBdr>
        <w:top w:val="none" w:sz="0" w:space="0" w:color="auto"/>
        <w:left w:val="none" w:sz="0" w:space="0" w:color="auto"/>
        <w:bottom w:val="none" w:sz="0" w:space="0" w:color="auto"/>
        <w:right w:val="none" w:sz="0" w:space="0" w:color="auto"/>
      </w:divBdr>
    </w:div>
    <w:div w:id="19442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D24CA-A775-4DB9-9331-296B83E6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Ertan</cp:lastModifiedBy>
  <cp:revision>3</cp:revision>
  <cp:lastPrinted>2019-02-13T09:37:00Z</cp:lastPrinted>
  <dcterms:created xsi:type="dcterms:W3CDTF">2019-02-13T09:30:00Z</dcterms:created>
  <dcterms:modified xsi:type="dcterms:W3CDTF">2019-02-13T09:37:00Z</dcterms:modified>
</cp:coreProperties>
</file>