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2025/201026</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Ondokuz Mayıs Üniversitesi Sağlık Uygulama ve Araştırma Merkezi h D.S.İ.</w:t>
      </w:r>
      <w:r w:rsidR="000F2572" w:rsidRPr="00FC114C">
        <w:rPr>
          <w:sz w:val="24"/>
          <w:szCs w:val="22"/>
        </w:rPr>
        <w:t xml:space="preserve"> tarafından ihaleye çıkarılmış bulunan </w:t>
      </w:r>
      <w:r w:rsidR="00370552">
        <w:rPr>
          <w:i/>
          <w:color w:val="808080"/>
          <w:sz w:val="24"/>
          <w:szCs w:val="22"/>
        </w:rPr>
        <w:t>PATOLOJİ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Ondokuz Mayıs Üniversitesi Sağlık Uygulama ve Araştırma Merkezi h D.S.İ.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