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822B12" w:rsidRPr="00822B12" w14:paraId="29F6FD0B" w14:textId="77777777" w:rsidTr="0071558D">
        <w:trPr>
          <w:trHeight w:val="1549"/>
        </w:trPr>
        <w:tc>
          <w:tcPr>
            <w:tcW w:w="1086" w:type="pct"/>
            <w:tcBorders>
              <w:top w:val="single" w:sz="4" w:space="0" w:color="auto"/>
              <w:left w:val="single" w:sz="4" w:space="0" w:color="auto"/>
              <w:bottom w:val="single" w:sz="4" w:space="0" w:color="auto"/>
              <w:right w:val="single" w:sz="4" w:space="0" w:color="auto"/>
            </w:tcBorders>
            <w:vAlign w:val="center"/>
          </w:tcPr>
          <w:p w14:paraId="76F3EEB1" w14:textId="77777777" w:rsidR="00822B12" w:rsidRDefault="00822B12" w:rsidP="00400A63">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5"/>
              <w:gridCol w:w="2268"/>
              <w:gridCol w:w="3557"/>
            </w:tblGrid>
            <w:tr w:rsidR="00460782" w:rsidRPr="00822B12" w14:paraId="59A4CDBF" w14:textId="77777777" w:rsidTr="00B04FED">
              <w:trPr>
                <w:trHeight w:val="425"/>
              </w:trPr>
              <w:tc>
                <w:tcPr>
                  <w:tcW w:w="1696" w:type="dxa"/>
                  <w:vMerge w:val="restart"/>
                  <w:vAlign w:val="center"/>
                </w:tcPr>
                <w:p w14:paraId="071906C6" w14:textId="3FA2FD79" w:rsidR="00460782" w:rsidRDefault="00460782" w:rsidP="00987C20">
                  <w:pPr>
                    <w:jc w:val="center"/>
                    <w:rPr>
                      <w:rFonts w:eastAsia="Calibri"/>
                      <w:sz w:val="18"/>
                      <w:szCs w:val="18"/>
                      <w:lang w:eastAsia="en-US"/>
                    </w:rPr>
                  </w:pPr>
                  <w:r>
                    <w:rPr>
                      <w:sz w:val="18"/>
                      <w:szCs w:val="18"/>
                    </w:rPr>
                    <w:t>İş Deneyimini Gösteren Belgeler</w:t>
                  </w:r>
                </w:p>
              </w:tc>
              <w:tc>
                <w:tcPr>
                  <w:tcW w:w="2835" w:type="dxa"/>
                  <w:vAlign w:val="center"/>
                </w:tcPr>
                <w:p w14:paraId="53E3B60C" w14:textId="77777777" w:rsidR="004D0E7E" w:rsidRDefault="004D0E7E" w:rsidP="00E2137C">
                  <w:pPr>
                    <w:rPr>
                      <w:rFonts w:eastAsia="Calibri"/>
                      <w:sz w:val="18"/>
                      <w:szCs w:val="18"/>
                      <w:lang w:eastAsia="en-US"/>
                    </w:rPr>
                  </w:pPr>
                </w:p>
                <w:p w14:paraId="77F84380" w14:textId="767D9E2F" w:rsidR="00460782" w:rsidRDefault="00460782"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4D0E7E" w:rsidRDefault="004D0E7E" w:rsidP="00E2137C">
                  <w:pPr>
                    <w:rPr>
                      <w:rFonts w:eastAsia="Calibri"/>
                      <w:sz w:val="18"/>
                      <w:szCs w:val="18"/>
                      <w:lang w:eastAsia="en-US"/>
                    </w:rPr>
                  </w:pPr>
                </w:p>
              </w:tc>
              <w:tc>
                <w:tcPr>
                  <w:tcW w:w="2268" w:type="dxa"/>
                </w:tcPr>
                <w:p w14:paraId="47CBB62E" w14:textId="77777777" w:rsidR="00460782" w:rsidRDefault="00460782" w:rsidP="00E2137C">
                  <w:pPr>
                    <w:jc w:val="both"/>
                    <w:rPr>
                      <w:rFonts w:eastAsia="Calibri"/>
                      <w:sz w:val="18"/>
                      <w:szCs w:val="18"/>
                      <w:lang w:eastAsia="en-US"/>
                    </w:rPr>
                  </w:pPr>
                </w:p>
              </w:tc>
              <w:tc>
                <w:tcPr>
                  <w:tcW w:w="3557" w:type="dxa"/>
                  <w:vMerge w:val="restart"/>
                  <w:vAlign w:val="center"/>
                </w:tcPr>
                <w:p w14:paraId="1040AF4A" w14:textId="77777777" w:rsidR="00460782" w:rsidRPr="00460782" w:rsidRDefault="00460782"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460782" w:rsidRPr="00460782" w:rsidRDefault="00460782" w:rsidP="00460782">
                  <w:pPr>
                    <w:rPr>
                      <w:rFonts w:eastAsia="Calibri"/>
                      <w:sz w:val="18"/>
                      <w:szCs w:val="18"/>
                      <w:lang w:eastAsia="en-US"/>
                    </w:rPr>
                  </w:pPr>
                </w:p>
                <w:p w14:paraId="6D18DDE5" w14:textId="08AE5F0B" w:rsidR="00460782" w:rsidRPr="00AA67F1" w:rsidRDefault="00384AB0"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460782" w:rsidRPr="00AA67F1" w:rsidRDefault="00460782" w:rsidP="00460782">
                  <w:pPr>
                    <w:rPr>
                      <w:rFonts w:eastAsia="Calibri"/>
                      <w:sz w:val="18"/>
                      <w:szCs w:val="18"/>
                      <w:lang w:eastAsia="en-US"/>
                    </w:rPr>
                  </w:pPr>
                </w:p>
              </w:tc>
            </w:tr>
            <w:tr w:rsidR="00460782" w:rsidRPr="00822B12" w14:paraId="4AFAEA1D" w14:textId="77777777" w:rsidTr="00B04FED">
              <w:trPr>
                <w:trHeight w:val="425"/>
              </w:trPr>
              <w:tc>
                <w:tcPr>
                  <w:tcW w:w="1696" w:type="dxa"/>
                  <w:vMerge/>
                  <w:vAlign w:val="center"/>
                </w:tcPr>
                <w:p w14:paraId="39985F10" w14:textId="77777777" w:rsidR="00460782" w:rsidRDefault="00460782" w:rsidP="00987C20">
                  <w:pPr>
                    <w:jc w:val="center"/>
                    <w:rPr>
                      <w:sz w:val="18"/>
                      <w:szCs w:val="18"/>
                    </w:rPr>
                  </w:pPr>
                </w:p>
              </w:tc>
              <w:tc>
                <w:tcPr>
                  <w:tcW w:w="2835" w:type="dxa"/>
                  <w:vAlign w:val="center"/>
                </w:tcPr>
                <w:p w14:paraId="64A849E4" w14:textId="77777777" w:rsidR="008033FF" w:rsidRDefault="008033FF" w:rsidP="00E2137C">
                  <w:pPr>
                    <w:rPr>
                      <w:rFonts w:eastAsia="Calibri"/>
                      <w:sz w:val="18"/>
                      <w:szCs w:val="18"/>
                      <w:lang w:eastAsia="en-US"/>
                    </w:rPr>
                  </w:pPr>
                </w:p>
                <w:p w14:paraId="3600F274" w14:textId="77777777" w:rsidR="004D0E7E" w:rsidRDefault="008033FF" w:rsidP="00E2137C">
                  <w:pPr>
                    <w:rPr>
                      <w:rFonts w:eastAsia="Calibri"/>
                      <w:sz w:val="18"/>
                      <w:szCs w:val="18"/>
                      <w:lang w:eastAsia="en-US"/>
                    </w:rPr>
                  </w:pPr>
                  <w:proofErr w:type="spellStart"/>
                  <w:r w:rsidRPr="008033FF">
                    <w:rPr>
                      <w:rFonts w:eastAsia="Calibri"/>
                      <w:sz w:val="18"/>
                      <w:szCs w:val="18"/>
                      <w:lang w:eastAsia="en-US"/>
                    </w:rPr>
                    <w:t>EKAP’ta</w:t>
                  </w:r>
                  <w:proofErr w:type="spellEnd"/>
                  <w:r w:rsidRPr="008033FF">
                    <w:rPr>
                      <w:rFonts w:eastAsia="Calibri"/>
                      <w:sz w:val="18"/>
                      <w:szCs w:val="18"/>
                      <w:lang w:eastAsia="en-US"/>
                    </w:rPr>
                    <w:t xml:space="preserve"> Kayıtlı Olmayan İş Deneyim Belgesi</w:t>
                  </w:r>
                </w:p>
                <w:p w14:paraId="2583AE6C" w14:textId="27279EB9" w:rsidR="008033FF" w:rsidRPr="007D0104" w:rsidRDefault="008033FF" w:rsidP="00E2137C">
                  <w:pPr>
                    <w:rPr>
                      <w:rFonts w:eastAsia="Calibri"/>
                      <w:sz w:val="18"/>
                      <w:szCs w:val="18"/>
                      <w:lang w:eastAsia="en-US"/>
                    </w:rPr>
                  </w:pPr>
                </w:p>
              </w:tc>
              <w:tc>
                <w:tcPr>
                  <w:tcW w:w="2268" w:type="dxa"/>
                </w:tcPr>
                <w:p w14:paraId="47C73542" w14:textId="77777777" w:rsidR="00460782" w:rsidRDefault="00460782" w:rsidP="00E2137C">
                  <w:pPr>
                    <w:jc w:val="both"/>
                    <w:rPr>
                      <w:rFonts w:eastAsia="Calibri"/>
                      <w:sz w:val="18"/>
                      <w:szCs w:val="18"/>
                      <w:lang w:eastAsia="en-US"/>
                    </w:rPr>
                  </w:pPr>
                </w:p>
              </w:tc>
              <w:tc>
                <w:tcPr>
                  <w:tcW w:w="3557" w:type="dxa"/>
                  <w:vMerge/>
                  <w:vAlign w:val="center"/>
                </w:tcPr>
                <w:p w14:paraId="4052FE84" w14:textId="77777777" w:rsidR="00460782" w:rsidRPr="00AA67F1" w:rsidRDefault="00460782" w:rsidP="00AA67F1">
                  <w:pPr>
                    <w:rPr>
                      <w:rFonts w:eastAsia="Calibri"/>
                      <w:sz w:val="18"/>
                      <w:szCs w:val="18"/>
                      <w:lang w:eastAsia="en-US"/>
                    </w:rPr>
                  </w:pPr>
                </w:p>
              </w:tc>
            </w:tr>
            <w:tr w:rsidR="00460782" w:rsidRPr="00822B12" w14:paraId="52C58194" w14:textId="77777777" w:rsidTr="00B04FED">
              <w:trPr>
                <w:trHeight w:val="425"/>
              </w:trPr>
              <w:tc>
                <w:tcPr>
                  <w:tcW w:w="1696" w:type="dxa"/>
                  <w:vMerge/>
                  <w:vAlign w:val="center"/>
                </w:tcPr>
                <w:p w14:paraId="7F6D9C5A" w14:textId="77777777" w:rsidR="00460782" w:rsidRDefault="00460782" w:rsidP="00460782">
                  <w:pPr>
                    <w:jc w:val="center"/>
                    <w:rPr>
                      <w:sz w:val="18"/>
                      <w:szCs w:val="18"/>
                    </w:rPr>
                  </w:pPr>
                </w:p>
              </w:tc>
              <w:tc>
                <w:tcPr>
                  <w:tcW w:w="2835" w:type="dxa"/>
                  <w:vAlign w:val="center"/>
                </w:tcPr>
                <w:p w14:paraId="556E382E" w14:textId="77777777" w:rsidR="004D0E7E" w:rsidRDefault="004D0E7E" w:rsidP="00460782">
                  <w:pPr>
                    <w:rPr>
                      <w:rFonts w:eastAsia="Calibri"/>
                      <w:sz w:val="18"/>
                      <w:szCs w:val="18"/>
                      <w:lang w:eastAsia="en-US"/>
                    </w:rPr>
                  </w:pPr>
                </w:p>
                <w:p w14:paraId="164E4120" w14:textId="532534FA" w:rsidR="00460782" w:rsidRDefault="00460782"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4D0E7E" w:rsidRPr="007D0104" w:rsidRDefault="004D0E7E" w:rsidP="00460782">
                  <w:pPr>
                    <w:rPr>
                      <w:rFonts w:eastAsia="Calibri"/>
                      <w:sz w:val="18"/>
                      <w:szCs w:val="18"/>
                      <w:lang w:eastAsia="en-US"/>
                    </w:rPr>
                  </w:pPr>
                </w:p>
              </w:tc>
              <w:tc>
                <w:tcPr>
                  <w:tcW w:w="2268" w:type="dxa"/>
                </w:tcPr>
                <w:p w14:paraId="3F6C118F" w14:textId="77777777" w:rsidR="00460782" w:rsidRDefault="00460782" w:rsidP="00460782">
                  <w:pPr>
                    <w:jc w:val="both"/>
                    <w:rPr>
                      <w:rFonts w:eastAsia="Calibri"/>
                      <w:sz w:val="18"/>
                      <w:szCs w:val="18"/>
                      <w:lang w:eastAsia="en-US"/>
                    </w:rPr>
                  </w:pPr>
                </w:p>
              </w:tc>
              <w:tc>
                <w:tcPr>
                  <w:tcW w:w="3557" w:type="dxa"/>
                  <w:vMerge/>
                  <w:vAlign w:val="center"/>
                </w:tcPr>
                <w:p w14:paraId="2FEA838D" w14:textId="77777777" w:rsidR="00460782" w:rsidRPr="00AA67F1" w:rsidRDefault="00460782" w:rsidP="00460782">
                  <w:pPr>
                    <w:rPr>
                      <w:rFonts w:eastAsia="Calibri"/>
                      <w:sz w:val="18"/>
                      <w:szCs w:val="18"/>
                      <w:lang w:eastAsia="en-US"/>
                    </w:rPr>
                  </w:pPr>
                </w:p>
              </w:tc>
            </w:tr>
            <w:tr w:rsidR="00460782" w:rsidRPr="00822B12" w14:paraId="65AAA837" w14:textId="77777777" w:rsidTr="00B04FED">
              <w:trPr>
                <w:trHeight w:val="425"/>
              </w:trPr>
              <w:tc>
                <w:tcPr>
                  <w:tcW w:w="1696" w:type="dxa"/>
                  <w:vMerge/>
                  <w:vAlign w:val="center"/>
                </w:tcPr>
                <w:p w14:paraId="169EE745" w14:textId="77777777" w:rsidR="00460782" w:rsidRDefault="00460782" w:rsidP="00460782">
                  <w:pPr>
                    <w:jc w:val="center"/>
                    <w:rPr>
                      <w:sz w:val="18"/>
                      <w:szCs w:val="18"/>
                    </w:rPr>
                  </w:pPr>
                </w:p>
              </w:tc>
              <w:tc>
                <w:tcPr>
                  <w:tcW w:w="2835" w:type="dxa"/>
                  <w:vAlign w:val="center"/>
                </w:tcPr>
                <w:p w14:paraId="045B82C5" w14:textId="77777777" w:rsidR="004D0E7E" w:rsidRDefault="004D0E7E" w:rsidP="00460782">
                  <w:pPr>
                    <w:rPr>
                      <w:rFonts w:eastAsia="Calibri"/>
                      <w:sz w:val="18"/>
                      <w:szCs w:val="18"/>
                      <w:lang w:eastAsia="en-US"/>
                    </w:rPr>
                  </w:pPr>
                </w:p>
                <w:p w14:paraId="36E7BC15" w14:textId="77777777" w:rsidR="004D0E7E" w:rsidRDefault="004D0E7E" w:rsidP="00460782">
                  <w:pPr>
                    <w:rPr>
                      <w:rFonts w:eastAsia="Calibri"/>
                      <w:sz w:val="18"/>
                      <w:szCs w:val="18"/>
                      <w:lang w:eastAsia="en-US"/>
                    </w:rPr>
                  </w:pPr>
                </w:p>
                <w:p w14:paraId="1C411B6E" w14:textId="45B4748A" w:rsidR="00460782" w:rsidRDefault="00460782"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4D0E7E" w:rsidRDefault="004D0E7E" w:rsidP="00460782">
                  <w:pPr>
                    <w:rPr>
                      <w:rFonts w:eastAsia="Calibri"/>
                      <w:sz w:val="18"/>
                      <w:szCs w:val="18"/>
                      <w:lang w:eastAsia="en-US"/>
                    </w:rPr>
                  </w:pPr>
                </w:p>
                <w:p w14:paraId="691AF2EB" w14:textId="08C60470" w:rsidR="004D0E7E" w:rsidRPr="007D0104" w:rsidRDefault="004D0E7E" w:rsidP="00460782">
                  <w:pPr>
                    <w:rPr>
                      <w:rFonts w:eastAsia="Calibri"/>
                      <w:sz w:val="18"/>
                      <w:szCs w:val="18"/>
                      <w:lang w:eastAsia="en-US"/>
                    </w:rPr>
                  </w:pPr>
                </w:p>
              </w:tc>
              <w:tc>
                <w:tcPr>
                  <w:tcW w:w="2268" w:type="dxa"/>
                </w:tcPr>
                <w:p w14:paraId="49E60BB2" w14:textId="77777777" w:rsidR="00460782" w:rsidRDefault="00460782" w:rsidP="00460782">
                  <w:pPr>
                    <w:jc w:val="both"/>
                    <w:rPr>
                      <w:rFonts w:eastAsia="Calibri"/>
                      <w:sz w:val="18"/>
                      <w:szCs w:val="18"/>
                      <w:lang w:eastAsia="en-US"/>
                    </w:rPr>
                  </w:pPr>
                </w:p>
              </w:tc>
              <w:tc>
                <w:tcPr>
                  <w:tcW w:w="3557" w:type="dxa"/>
                  <w:vMerge/>
                  <w:vAlign w:val="center"/>
                </w:tcPr>
                <w:p w14:paraId="195B7BD7" w14:textId="77777777" w:rsidR="00460782" w:rsidRPr="00AA67F1" w:rsidRDefault="00460782" w:rsidP="00460782">
                  <w:pPr>
                    <w:rPr>
                      <w:rFonts w:eastAsia="Calibri"/>
                      <w:sz w:val="18"/>
                      <w:szCs w:val="18"/>
                      <w:lang w:eastAsia="en-US"/>
                    </w:rPr>
                  </w:pPr>
                </w:p>
              </w:tc>
            </w:tr>
            <w:tr w:rsidR="00460782" w:rsidRPr="00822B12" w14:paraId="2358C78D" w14:textId="77777777" w:rsidTr="00B04FED">
              <w:trPr>
                <w:trHeight w:val="425"/>
              </w:trPr>
              <w:tc>
                <w:tcPr>
                  <w:tcW w:w="1696" w:type="dxa"/>
                  <w:vMerge/>
                  <w:vAlign w:val="center"/>
                </w:tcPr>
                <w:p w14:paraId="236E6549" w14:textId="77777777" w:rsidR="00460782" w:rsidRDefault="00460782" w:rsidP="00460782">
                  <w:pPr>
                    <w:jc w:val="center"/>
                    <w:rPr>
                      <w:sz w:val="18"/>
                      <w:szCs w:val="18"/>
                    </w:rPr>
                  </w:pPr>
                </w:p>
              </w:tc>
              <w:tc>
                <w:tcPr>
                  <w:tcW w:w="2835" w:type="dxa"/>
                  <w:vAlign w:val="center"/>
                </w:tcPr>
                <w:p w14:paraId="0A3E8E4F" w14:textId="77777777" w:rsidR="00460782" w:rsidRDefault="00460782" w:rsidP="00460782">
                  <w:pPr>
                    <w:rPr>
                      <w:rFonts w:eastAsia="Calibri"/>
                      <w:sz w:val="18"/>
                      <w:szCs w:val="18"/>
                      <w:lang w:eastAsia="en-US"/>
                    </w:rPr>
                  </w:pPr>
                </w:p>
                <w:p w14:paraId="18E701AB" w14:textId="4042B364" w:rsidR="004D0E7E" w:rsidRDefault="00460782"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4D0E7E" w:rsidRPr="00460782" w:rsidRDefault="004D0E7E" w:rsidP="00460782">
                  <w:pPr>
                    <w:rPr>
                      <w:rFonts w:eastAsia="Calibri"/>
                      <w:sz w:val="18"/>
                      <w:szCs w:val="18"/>
                      <w:lang w:eastAsia="en-US"/>
                    </w:rPr>
                  </w:pPr>
                </w:p>
              </w:tc>
              <w:tc>
                <w:tcPr>
                  <w:tcW w:w="2268" w:type="dxa"/>
                </w:tcPr>
                <w:p w14:paraId="23B7DB1C" w14:textId="77777777" w:rsidR="00460782" w:rsidRDefault="00460782" w:rsidP="00460782">
                  <w:pPr>
                    <w:jc w:val="both"/>
                    <w:rPr>
                      <w:rFonts w:eastAsia="Calibri"/>
                      <w:sz w:val="18"/>
                      <w:szCs w:val="18"/>
                      <w:lang w:eastAsia="en-US"/>
                    </w:rPr>
                  </w:pPr>
                </w:p>
              </w:tc>
              <w:tc>
                <w:tcPr>
                  <w:tcW w:w="3557" w:type="dxa"/>
                  <w:vMerge/>
                  <w:vAlign w:val="center"/>
                </w:tcPr>
                <w:p w14:paraId="5F5D8F8C" w14:textId="77777777" w:rsidR="00460782" w:rsidRPr="00AA67F1" w:rsidRDefault="00460782" w:rsidP="00460782">
                  <w:pPr>
                    <w:rPr>
                      <w:rFonts w:eastAsia="Calibri"/>
                      <w:sz w:val="18"/>
                      <w:szCs w:val="18"/>
                      <w:lang w:eastAsia="en-US"/>
                    </w:rPr>
                  </w:pPr>
                </w:p>
              </w:tc>
            </w:tr>
            <w:tr w:rsidR="00460782" w:rsidRPr="00822B12" w14:paraId="1E5FE1DC" w14:textId="77777777" w:rsidTr="00B04FED">
              <w:trPr>
                <w:trHeight w:val="1401"/>
              </w:trPr>
              <w:tc>
                <w:tcPr>
                  <w:tcW w:w="1696" w:type="dxa"/>
                  <w:vMerge w:val="restart"/>
                  <w:vAlign w:val="center"/>
                </w:tcPr>
                <w:p w14:paraId="2275F500" w14:textId="72A71F3E" w:rsidR="00460782" w:rsidRPr="002F6734" w:rsidRDefault="00460782" w:rsidP="00460782">
                  <w:pPr>
                    <w:jc w:val="center"/>
                    <w:rPr>
                      <w:sz w:val="18"/>
                      <w:szCs w:val="18"/>
                    </w:rPr>
                  </w:pPr>
                  <w:r>
                    <w:rPr>
                      <w:sz w:val="18"/>
                      <w:szCs w:val="18"/>
                    </w:rPr>
                    <w:t>İş Deneyimine İlişkin Belgeler</w:t>
                  </w:r>
                </w:p>
              </w:tc>
              <w:tc>
                <w:tcPr>
                  <w:tcW w:w="2835" w:type="dxa"/>
                  <w:vAlign w:val="center"/>
                </w:tcPr>
                <w:p w14:paraId="7F8DDE3B" w14:textId="27A8160F" w:rsidR="00460782" w:rsidRDefault="00460782"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460782" w:rsidRDefault="00460782" w:rsidP="00460782">
                  <w:pPr>
                    <w:jc w:val="both"/>
                    <w:rPr>
                      <w:rFonts w:eastAsia="Calibri"/>
                      <w:sz w:val="18"/>
                      <w:szCs w:val="18"/>
                      <w:lang w:eastAsia="en-US"/>
                    </w:rPr>
                  </w:pPr>
                </w:p>
              </w:tc>
              <w:tc>
                <w:tcPr>
                  <w:tcW w:w="3557" w:type="dxa"/>
                  <w:vMerge w:val="restart"/>
                  <w:vAlign w:val="center"/>
                </w:tcPr>
                <w:p w14:paraId="6DDC06BC" w14:textId="77777777" w:rsidR="00E16BDA" w:rsidRPr="008C6822" w:rsidRDefault="00E16BDA"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E16BDA" w:rsidRPr="008C6822" w:rsidRDefault="00E16BDA" w:rsidP="00E16BDA">
                  <w:pPr>
                    <w:rPr>
                      <w:rFonts w:eastAsia="Calibri"/>
                      <w:sz w:val="18"/>
                      <w:szCs w:val="18"/>
                    </w:rPr>
                  </w:pPr>
                </w:p>
                <w:p w14:paraId="61E80DA2" w14:textId="5219D7F0" w:rsidR="00460782" w:rsidRDefault="00384AB0"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w:t>
                  </w:r>
                  <w:proofErr w:type="gramStart"/>
                  <w:r w:rsidRPr="007448DA">
                    <w:rPr>
                      <w:rFonts w:eastAsia="Calibri"/>
                      <w:sz w:val="18"/>
                      <w:szCs w:val="18"/>
                      <w:lang w:eastAsia="en-US"/>
                    </w:rPr>
                    <w:t>belgelere</w:t>
                  </w:r>
                  <w:r>
                    <w:rPr>
                      <w:rFonts w:eastAsia="Calibri"/>
                      <w:sz w:val="18"/>
                      <w:szCs w:val="18"/>
                      <w:lang w:eastAsia="en-US"/>
                    </w:rPr>
                    <w:t xml:space="preserve"> </w:t>
                  </w:r>
                  <w:r w:rsidRPr="007448DA">
                    <w:rPr>
                      <w:rFonts w:eastAsia="Calibri"/>
                      <w:sz w:val="18"/>
                      <w:szCs w:val="18"/>
                      <w:lang w:eastAsia="en-US"/>
                    </w:rPr>
                    <w:t xml:space="preserve"> ilişkin</w:t>
                  </w:r>
                  <w:proofErr w:type="gramEnd"/>
                  <w:r w:rsidRPr="007448DA">
                    <w:rPr>
                      <w:rFonts w:eastAsia="Calibri"/>
                      <w:sz w:val="18"/>
                      <w:szCs w:val="18"/>
                      <w:lang w:eastAsia="en-US"/>
                    </w:rPr>
                    <w:t xml:space="preserve">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460782" w:rsidRPr="00822B12" w14:paraId="132A286B" w14:textId="77777777" w:rsidTr="00B04FED">
              <w:trPr>
                <w:trHeight w:val="564"/>
              </w:trPr>
              <w:tc>
                <w:tcPr>
                  <w:tcW w:w="1696" w:type="dxa"/>
                  <w:vMerge/>
                  <w:vAlign w:val="center"/>
                  <w:hideMark/>
                </w:tcPr>
                <w:p w14:paraId="5F687EE0" w14:textId="77777777" w:rsidR="00460782" w:rsidRDefault="00460782" w:rsidP="00460782">
                  <w:pPr>
                    <w:rPr>
                      <w:rFonts w:eastAsia="Calibri"/>
                      <w:sz w:val="18"/>
                      <w:szCs w:val="18"/>
                      <w:lang w:eastAsia="en-US"/>
                    </w:rPr>
                  </w:pPr>
                </w:p>
              </w:tc>
              <w:tc>
                <w:tcPr>
                  <w:tcW w:w="2835" w:type="dxa"/>
                  <w:vAlign w:val="center"/>
                </w:tcPr>
                <w:p w14:paraId="26E054C8" w14:textId="77777777" w:rsidR="00460782" w:rsidRDefault="00460782" w:rsidP="00460782">
                  <w:pPr>
                    <w:rPr>
                      <w:rFonts w:eastAsia="Calibri"/>
                      <w:sz w:val="18"/>
                      <w:szCs w:val="18"/>
                      <w:lang w:eastAsia="en-US"/>
                    </w:rPr>
                  </w:pPr>
                </w:p>
                <w:p w14:paraId="7646F26B" w14:textId="0C90B79A" w:rsidR="00460782" w:rsidRDefault="00460782" w:rsidP="00460782">
                  <w:pPr>
                    <w:rPr>
                      <w:rFonts w:eastAsia="Calibri"/>
                      <w:sz w:val="18"/>
                      <w:szCs w:val="18"/>
                      <w:lang w:eastAsia="en-US"/>
                    </w:rPr>
                  </w:pPr>
                  <w:r w:rsidRPr="00460782">
                    <w:rPr>
                      <w:rFonts w:eastAsia="Calibri"/>
                      <w:sz w:val="18"/>
                      <w:szCs w:val="18"/>
                      <w:lang w:eastAsia="en-US"/>
                    </w:rPr>
                    <w:lastRenderedPageBreak/>
                    <w:t>Kanun Kapsamındaki İdarelere Taahhüt Edilenler Dışında Yurt Dışında Gerçekleştirilen İşler İçin Düzenlenen Belgelerin Kullanılmasına İlişkin Ortaklık Tespit Belgesi</w:t>
                  </w:r>
                </w:p>
              </w:tc>
              <w:tc>
                <w:tcPr>
                  <w:tcW w:w="2268" w:type="dxa"/>
                </w:tcPr>
                <w:p w14:paraId="1ACEF6AC" w14:textId="77777777" w:rsidR="00460782" w:rsidRDefault="00460782" w:rsidP="00460782">
                  <w:pPr>
                    <w:jc w:val="both"/>
                    <w:rPr>
                      <w:rFonts w:eastAsia="Calibri"/>
                      <w:sz w:val="18"/>
                      <w:szCs w:val="18"/>
                      <w:lang w:eastAsia="en-US"/>
                    </w:rPr>
                  </w:pPr>
                </w:p>
              </w:tc>
              <w:tc>
                <w:tcPr>
                  <w:tcW w:w="3557" w:type="dxa"/>
                  <w:vMerge/>
                  <w:vAlign w:val="center"/>
                  <w:hideMark/>
                </w:tcPr>
                <w:p w14:paraId="10D9EB72" w14:textId="77777777" w:rsidR="00460782" w:rsidRDefault="00460782" w:rsidP="00460782">
                  <w:pPr>
                    <w:rPr>
                      <w:rFonts w:eastAsia="Calibri"/>
                      <w:sz w:val="18"/>
                      <w:szCs w:val="18"/>
                      <w:lang w:eastAsia="en-US"/>
                    </w:rPr>
                  </w:pPr>
                </w:p>
              </w:tc>
            </w:tr>
          </w:tbl>
          <w:p w14:paraId="4C927749" w14:textId="77777777" w:rsidR="00822B12" w:rsidRDefault="00822B12">
            <w:pPr>
              <w:jc w:val="both"/>
              <w:rPr>
                <w:rFonts w:eastAsia="Calibri"/>
                <w:sz w:val="18"/>
                <w:szCs w:val="18"/>
                <w:lang w:eastAsia="en-US"/>
              </w:rPr>
            </w:pPr>
          </w:p>
        </w:tc>
      </w:tr>
      <w:tr w:rsidR="00822B12" w14:paraId="59DD3A17" w14:textId="77777777" w:rsidTr="0071558D">
        <w:trPr>
          <w:trHeight w:val="580"/>
        </w:trPr>
        <w:tc>
          <w:tcPr>
            <w:tcW w:w="1086" w:type="pct"/>
            <w:tcBorders>
              <w:top w:val="single" w:sz="4" w:space="0" w:color="auto"/>
              <w:left w:val="single" w:sz="4" w:space="0" w:color="auto"/>
              <w:bottom w:val="single" w:sz="4" w:space="0" w:color="auto"/>
              <w:right w:val="single" w:sz="4" w:space="0" w:color="auto"/>
            </w:tcBorders>
            <w:vAlign w:val="center"/>
          </w:tcPr>
          <w:p w14:paraId="03565A74" w14:textId="77777777" w:rsidR="00822B12" w:rsidRDefault="00822B12" w:rsidP="00542317">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EKONOMİK VE MALİ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1" w:type="dxa"/>
              <w:tblBorders>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698"/>
              <w:gridCol w:w="2833"/>
              <w:gridCol w:w="2269"/>
              <w:gridCol w:w="3551"/>
            </w:tblGrid>
            <w:tr w:rsidR="00A94BB2" w:rsidRPr="00822B12" w14:paraId="1324AB6F" w14:textId="77777777" w:rsidTr="00400A63">
              <w:trPr>
                <w:trHeight w:val="1315"/>
              </w:trPr>
              <w:tc>
                <w:tcPr>
                  <w:tcW w:w="1698" w:type="dxa"/>
                  <w:vMerge w:val="restart"/>
                  <w:vAlign w:val="center"/>
                </w:tcPr>
                <w:p w14:paraId="22D8C43F" w14:textId="7143B272" w:rsidR="00A94BB2" w:rsidRPr="006860C0" w:rsidRDefault="00A94BB2" w:rsidP="00F66836">
                  <w:pPr>
                    <w:jc w:val="center"/>
                    <w:rPr>
                      <w:rFonts w:eastAsia="Calibri"/>
                      <w:sz w:val="18"/>
                      <w:szCs w:val="18"/>
                      <w:lang w:eastAsia="en-US"/>
                    </w:rPr>
                  </w:pPr>
                  <w:r w:rsidRPr="006860C0">
                    <w:rPr>
                      <w:rFonts w:eastAsia="Calibri"/>
                      <w:sz w:val="18"/>
                      <w:szCs w:val="18"/>
                      <w:lang w:eastAsia="en-US"/>
                    </w:rPr>
                    <w:t xml:space="preserve">Bilanço Bilgileri </w:t>
                  </w:r>
                </w:p>
              </w:tc>
              <w:tc>
                <w:tcPr>
                  <w:tcW w:w="2833" w:type="dxa"/>
                  <w:vAlign w:val="center"/>
                </w:tcPr>
                <w:p w14:paraId="70ED6FE3" w14:textId="77777777" w:rsidR="00A94BB2" w:rsidRDefault="00A94BB2" w:rsidP="00155707">
                  <w:pPr>
                    <w:rPr>
                      <w:rFonts w:eastAsia="Calibri"/>
                      <w:sz w:val="18"/>
                      <w:szCs w:val="18"/>
                      <w:lang w:eastAsia="en-US"/>
                    </w:rPr>
                  </w:pPr>
                  <w:r>
                    <w:rPr>
                      <w:rFonts w:eastAsia="Calibri"/>
                      <w:sz w:val="18"/>
                      <w:szCs w:val="18"/>
                      <w:lang w:eastAsia="en-US"/>
                    </w:rPr>
                    <w:t>Cari Oran</w:t>
                  </w:r>
                </w:p>
                <w:p w14:paraId="5FEA50D9" w14:textId="77777777" w:rsidR="00A94BB2" w:rsidRDefault="00A94BB2" w:rsidP="00155707">
                  <w:pPr>
                    <w:rPr>
                      <w:rFonts w:eastAsia="Calibri"/>
                      <w:sz w:val="18"/>
                      <w:szCs w:val="18"/>
                      <w:lang w:eastAsia="en-US"/>
                    </w:rPr>
                  </w:pPr>
                </w:p>
                <w:p w14:paraId="3B2C7890" w14:textId="77777777" w:rsidR="00A94BB2" w:rsidRDefault="00A94BB2" w:rsidP="00155707">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(Dönen Varlıklar/Kısa Vadeli Borçlar)</w:t>
                  </w:r>
                </w:p>
              </w:tc>
              <w:tc>
                <w:tcPr>
                  <w:tcW w:w="2269" w:type="dxa"/>
                </w:tcPr>
                <w:p w14:paraId="3419FD16"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restart"/>
                  <w:vAlign w:val="center"/>
                </w:tcPr>
                <w:p w14:paraId="640F077D" w14:textId="77777777" w:rsidR="00A94BB2" w:rsidRDefault="00A94BB2" w:rsidP="000B19E6">
                  <w:pPr>
                    <w:rPr>
                      <w:rFonts w:eastAsia="Calibri"/>
                      <w:sz w:val="18"/>
                      <w:szCs w:val="18"/>
                      <w:lang w:eastAsia="en-US"/>
                    </w:rPr>
                  </w:pPr>
                </w:p>
                <w:p w14:paraId="4B51A3EF" w14:textId="77777777" w:rsidR="00A94BB2" w:rsidRPr="00F66836" w:rsidRDefault="00A94BB2" w:rsidP="00F66836">
                  <w:pPr>
                    <w:rPr>
                      <w:rFonts w:eastAsia="Calibri"/>
                      <w:sz w:val="18"/>
                      <w:szCs w:val="18"/>
                      <w:lang w:eastAsia="en-US"/>
                    </w:rPr>
                  </w:pPr>
                  <w:r w:rsidRPr="00F66836">
                    <w:rPr>
                      <w:rFonts w:eastAsia="Calibri"/>
                      <w:sz w:val="18"/>
                      <w:szCs w:val="18"/>
                      <w:lang w:eastAsia="en-US"/>
                    </w:rPr>
                    <w:t xml:space="preserve">İdari Şartnamenin 7.4.2 maddesi </w:t>
                  </w:r>
                </w:p>
                <w:p w14:paraId="160ADE98" w14:textId="77777777" w:rsidR="00A94BB2" w:rsidRPr="00F66836" w:rsidRDefault="00A94BB2" w:rsidP="00F66836">
                  <w:pPr>
                    <w:rPr>
                      <w:rFonts w:eastAsia="Calibri"/>
                      <w:sz w:val="18"/>
                      <w:szCs w:val="18"/>
                      <w:lang w:eastAsia="en-US"/>
                    </w:rPr>
                  </w:pPr>
                </w:p>
                <w:p w14:paraId="7CDBD847" w14:textId="77777777" w:rsidR="00384AB0" w:rsidRDefault="00A94BB2" w:rsidP="00F66836">
                  <w:pPr>
                    <w:rPr>
                      <w:rFonts w:eastAsia="Calibri"/>
                      <w:sz w:val="18"/>
                      <w:szCs w:val="18"/>
                      <w:lang w:eastAsia="en-US"/>
                    </w:rPr>
                  </w:pPr>
                  <w:r w:rsidRPr="00F66836">
                    <w:rPr>
                      <w:rFonts w:eastAsia="Calibri"/>
                      <w:sz w:val="18"/>
                      <w:szCs w:val="18"/>
                      <w:lang w:eastAsia="en-US"/>
                    </w:rPr>
                    <w:t>İdari Şartnamede yer alan düzenlemeler çerçevesinde, yeterlik değerlendirmesinde</w:t>
                  </w:r>
                </w:p>
                <w:p w14:paraId="1C8352A1" w14:textId="02F7F0C1" w:rsidR="00A94BB2" w:rsidRDefault="00A94BB2" w:rsidP="00F66836">
                  <w:pPr>
                    <w:rPr>
                      <w:rFonts w:eastAsia="Calibri"/>
                      <w:sz w:val="18"/>
                      <w:szCs w:val="18"/>
                      <w:lang w:eastAsia="en-US"/>
                    </w:rPr>
                  </w:pPr>
                  <w:r w:rsidRPr="00F66836">
                    <w:rPr>
                      <w:rFonts w:eastAsia="Calibri"/>
                      <w:sz w:val="18"/>
                      <w:szCs w:val="18"/>
                      <w:lang w:eastAsia="en-US"/>
                    </w:rPr>
                    <w:t xml:space="preserve"> </w:t>
                  </w:r>
                  <w:proofErr w:type="gramStart"/>
                  <w:r w:rsidRPr="00F66836">
                    <w:rPr>
                      <w:rFonts w:eastAsia="Calibri"/>
                      <w:sz w:val="18"/>
                      <w:szCs w:val="18"/>
                      <w:lang w:eastAsia="en-US"/>
                    </w:rPr>
                    <w:t>esas</w:t>
                  </w:r>
                  <w:proofErr w:type="gramEnd"/>
                  <w:r w:rsidRPr="00F66836">
                    <w:rPr>
                      <w:rFonts w:eastAsia="Calibri"/>
                      <w:sz w:val="18"/>
                      <w:szCs w:val="18"/>
                      <w:lang w:eastAsia="en-US"/>
                    </w:rPr>
                    <w:t xml:space="preserve"> alınan yıllara göre bilanço veya eşdeğer </w:t>
                  </w:r>
                </w:p>
                <w:p w14:paraId="006739E5" w14:textId="0DF57482" w:rsidR="00A94BB2" w:rsidRDefault="00A94BB2" w:rsidP="00F66836">
                  <w:pPr>
                    <w:rPr>
                      <w:rFonts w:eastAsia="Calibri"/>
                      <w:sz w:val="18"/>
                      <w:szCs w:val="18"/>
                      <w:lang w:eastAsia="en-US"/>
                    </w:rPr>
                  </w:pPr>
                  <w:proofErr w:type="gramStart"/>
                  <w:r w:rsidRPr="00F66836">
                    <w:rPr>
                      <w:rFonts w:eastAsia="Calibri"/>
                      <w:sz w:val="18"/>
                      <w:szCs w:val="18"/>
                      <w:lang w:eastAsia="en-US"/>
                    </w:rPr>
                    <w:t>belgelere</w:t>
                  </w:r>
                  <w:proofErr w:type="gramEnd"/>
                  <w:r w:rsidRPr="00F66836">
                    <w:rPr>
                      <w:rFonts w:eastAsia="Calibri"/>
                      <w:sz w:val="18"/>
                      <w:szCs w:val="18"/>
                      <w:lang w:eastAsia="en-US"/>
                    </w:rPr>
                    <w:t xml:space="preserve"> dayanılarak hesaplanan ilgili oranlar belirtilecektir.</w:t>
                  </w:r>
                </w:p>
              </w:tc>
            </w:tr>
            <w:tr w:rsidR="00A94BB2" w14:paraId="1410BA0D" w14:textId="77777777" w:rsidTr="00400A63">
              <w:trPr>
                <w:trHeight w:val="152"/>
              </w:trPr>
              <w:tc>
                <w:tcPr>
                  <w:tcW w:w="1698" w:type="dxa"/>
                  <w:vMerge/>
                  <w:vAlign w:val="center"/>
                  <w:hideMark/>
                </w:tcPr>
                <w:p w14:paraId="00D17F5F" w14:textId="77777777" w:rsidR="00A94BB2" w:rsidRDefault="00A94BB2" w:rsidP="00155707">
                  <w:pPr>
                    <w:jc w:val="center"/>
                    <w:rPr>
                      <w:rFonts w:eastAsia="Calibri"/>
                      <w:sz w:val="18"/>
                      <w:szCs w:val="18"/>
                      <w:lang w:eastAsia="en-US"/>
                    </w:rPr>
                  </w:pPr>
                </w:p>
              </w:tc>
              <w:tc>
                <w:tcPr>
                  <w:tcW w:w="2833" w:type="dxa"/>
                  <w:vAlign w:val="center"/>
                </w:tcPr>
                <w:p w14:paraId="00100A48" w14:textId="77777777" w:rsidR="00A94BB2" w:rsidRDefault="00A94BB2" w:rsidP="00155707">
                  <w:pPr>
                    <w:rPr>
                      <w:rFonts w:eastAsia="Calibri"/>
                      <w:sz w:val="18"/>
                      <w:szCs w:val="18"/>
                      <w:lang w:eastAsia="en-US"/>
                    </w:rPr>
                  </w:pPr>
                </w:p>
                <w:p w14:paraId="02671C9F" w14:textId="77777777" w:rsidR="00A94BB2" w:rsidRDefault="00A94BB2" w:rsidP="00155707">
                  <w:pPr>
                    <w:rPr>
                      <w:rFonts w:eastAsia="Calibri"/>
                      <w:sz w:val="18"/>
                      <w:szCs w:val="18"/>
                      <w:lang w:eastAsia="en-US"/>
                    </w:rPr>
                  </w:pPr>
                </w:p>
                <w:p w14:paraId="48C1B43A" w14:textId="77777777" w:rsidR="00A94BB2" w:rsidRDefault="00A94BB2" w:rsidP="00155707">
                  <w:pPr>
                    <w:rPr>
                      <w:rFonts w:eastAsia="Calibri"/>
                      <w:sz w:val="18"/>
                      <w:szCs w:val="18"/>
                      <w:lang w:eastAsia="en-US"/>
                    </w:rPr>
                  </w:pPr>
                  <w:r>
                    <w:rPr>
                      <w:rFonts w:eastAsia="Calibri"/>
                      <w:sz w:val="18"/>
                      <w:szCs w:val="18"/>
                      <w:lang w:eastAsia="en-US"/>
                    </w:rPr>
                    <w:t xml:space="preserve">Öz Kaynak Oranı </w:t>
                  </w:r>
                </w:p>
                <w:p w14:paraId="4A2BFE48" w14:textId="77777777" w:rsidR="00A94BB2" w:rsidRDefault="00A94BB2" w:rsidP="00155707">
                  <w:pPr>
                    <w:rPr>
                      <w:rFonts w:eastAsia="Calibri"/>
                      <w:sz w:val="18"/>
                      <w:szCs w:val="18"/>
                      <w:lang w:eastAsia="en-US"/>
                    </w:rPr>
                  </w:pPr>
                </w:p>
                <w:p w14:paraId="14C6EAD3" w14:textId="77777777" w:rsidR="00A94BB2" w:rsidRDefault="00A94BB2" w:rsidP="00155707">
                  <w:pPr>
                    <w:rPr>
                      <w:rFonts w:eastAsia="Calibri"/>
                      <w:sz w:val="18"/>
                      <w:szCs w:val="18"/>
                      <w:lang w:eastAsia="en-US"/>
                    </w:rPr>
                  </w:pPr>
                  <w:r>
                    <w:rPr>
                      <w:rFonts w:eastAsia="Calibri"/>
                      <w:sz w:val="18"/>
                      <w:szCs w:val="18"/>
                      <w:lang w:eastAsia="en-US"/>
                    </w:rPr>
                    <w:t>(Öz Kaynaklar/Toplam Aktif)</w:t>
                  </w:r>
                </w:p>
                <w:p w14:paraId="2E2B4BE3" w14:textId="77777777" w:rsidR="00A94BB2" w:rsidRDefault="00A94BB2" w:rsidP="00155707">
                  <w:pPr>
                    <w:rPr>
                      <w:rFonts w:eastAsia="Calibri"/>
                      <w:sz w:val="18"/>
                      <w:szCs w:val="18"/>
                      <w:lang w:eastAsia="en-US"/>
                    </w:rPr>
                  </w:pPr>
                </w:p>
                <w:p w14:paraId="4E0B15E3" w14:textId="77777777" w:rsidR="00A94BB2" w:rsidRDefault="00A94BB2" w:rsidP="00155707">
                  <w:pPr>
                    <w:rPr>
                      <w:rFonts w:eastAsia="Calibri"/>
                      <w:sz w:val="18"/>
                      <w:szCs w:val="18"/>
                      <w:lang w:eastAsia="en-US"/>
                    </w:rPr>
                  </w:pPr>
                </w:p>
              </w:tc>
              <w:tc>
                <w:tcPr>
                  <w:tcW w:w="2269" w:type="dxa"/>
                </w:tcPr>
                <w:p w14:paraId="1A5377D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0F2831F2" w14:textId="77777777" w:rsidR="00A94BB2" w:rsidRDefault="00A94BB2">
                  <w:pPr>
                    <w:rPr>
                      <w:rFonts w:eastAsia="Calibri"/>
                      <w:sz w:val="18"/>
                      <w:szCs w:val="18"/>
                      <w:lang w:eastAsia="en-US"/>
                    </w:rPr>
                  </w:pPr>
                </w:p>
              </w:tc>
            </w:tr>
            <w:tr w:rsidR="00A94BB2" w:rsidRPr="00822B12" w14:paraId="0AAEFC81" w14:textId="77777777" w:rsidTr="00400A63">
              <w:trPr>
                <w:trHeight w:val="152"/>
              </w:trPr>
              <w:tc>
                <w:tcPr>
                  <w:tcW w:w="1698" w:type="dxa"/>
                  <w:vMerge/>
                  <w:vAlign w:val="center"/>
                  <w:hideMark/>
                </w:tcPr>
                <w:p w14:paraId="60BE53D8" w14:textId="77777777" w:rsidR="00A94BB2" w:rsidRDefault="00A94BB2" w:rsidP="00155707">
                  <w:pPr>
                    <w:jc w:val="center"/>
                    <w:rPr>
                      <w:rFonts w:eastAsia="Calibri"/>
                      <w:sz w:val="18"/>
                      <w:szCs w:val="18"/>
                      <w:lang w:eastAsia="en-US"/>
                    </w:rPr>
                  </w:pPr>
                </w:p>
              </w:tc>
              <w:tc>
                <w:tcPr>
                  <w:tcW w:w="2833" w:type="dxa"/>
                  <w:vAlign w:val="center"/>
                </w:tcPr>
                <w:p w14:paraId="00A37E7B" w14:textId="77777777" w:rsidR="00A94BB2" w:rsidRDefault="00A94BB2" w:rsidP="00155707">
                  <w:pPr>
                    <w:rPr>
                      <w:rFonts w:eastAsia="Calibri"/>
                      <w:sz w:val="18"/>
                      <w:szCs w:val="18"/>
                      <w:lang w:eastAsia="en-US"/>
                    </w:rPr>
                  </w:pPr>
                </w:p>
                <w:p w14:paraId="1B37F593" w14:textId="77777777" w:rsidR="00A94BB2" w:rsidRDefault="00A94BB2" w:rsidP="00155707">
                  <w:pPr>
                    <w:rPr>
                      <w:rFonts w:eastAsia="Calibri"/>
                      <w:sz w:val="18"/>
                      <w:szCs w:val="18"/>
                      <w:lang w:eastAsia="en-US"/>
                    </w:rPr>
                  </w:pPr>
                  <w:r>
                    <w:rPr>
                      <w:rFonts w:eastAsia="Calibri"/>
                      <w:sz w:val="18"/>
                      <w:szCs w:val="18"/>
                      <w:lang w:eastAsia="en-US"/>
                    </w:rPr>
                    <w:t>Kısa Vadeli Banka Borçlarının Öz Kaynaklara Oranı</w:t>
                  </w:r>
                </w:p>
                <w:p w14:paraId="4CD4C76B" w14:textId="77777777" w:rsidR="00A94BB2" w:rsidRDefault="00A94BB2" w:rsidP="00155707">
                  <w:pPr>
                    <w:rPr>
                      <w:rFonts w:eastAsia="Calibri"/>
                      <w:sz w:val="18"/>
                      <w:szCs w:val="18"/>
                      <w:lang w:eastAsia="en-US"/>
                    </w:rPr>
                  </w:pPr>
                </w:p>
              </w:tc>
              <w:tc>
                <w:tcPr>
                  <w:tcW w:w="2269" w:type="dxa"/>
                </w:tcPr>
                <w:p w14:paraId="19F3300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21851CCF" w14:textId="77777777" w:rsidR="00A94BB2" w:rsidRDefault="00A94BB2">
                  <w:pPr>
                    <w:rPr>
                      <w:rFonts w:eastAsia="Calibri"/>
                      <w:sz w:val="18"/>
                      <w:szCs w:val="18"/>
                      <w:lang w:eastAsia="en-US"/>
                    </w:rPr>
                  </w:pPr>
                </w:p>
              </w:tc>
            </w:tr>
            <w:tr w:rsidR="00A94BB2" w:rsidRPr="00822B12" w14:paraId="0273F784" w14:textId="77777777" w:rsidTr="00400A63">
              <w:trPr>
                <w:trHeight w:val="152"/>
              </w:trPr>
              <w:tc>
                <w:tcPr>
                  <w:tcW w:w="1698" w:type="dxa"/>
                  <w:vMerge/>
                  <w:vAlign w:val="center"/>
                </w:tcPr>
                <w:p w14:paraId="7619A964" w14:textId="77777777" w:rsidR="00A94BB2" w:rsidRDefault="00A94BB2" w:rsidP="00155707">
                  <w:pPr>
                    <w:jc w:val="center"/>
                    <w:rPr>
                      <w:rFonts w:eastAsia="Calibri"/>
                      <w:sz w:val="18"/>
                      <w:szCs w:val="18"/>
                      <w:lang w:eastAsia="en-US"/>
                    </w:rPr>
                  </w:pPr>
                </w:p>
              </w:tc>
              <w:tc>
                <w:tcPr>
                  <w:tcW w:w="2833" w:type="dxa"/>
                  <w:vAlign w:val="center"/>
                </w:tcPr>
                <w:p w14:paraId="51845AF0" w14:textId="77777777" w:rsidR="00A94BB2" w:rsidRDefault="00A94BB2" w:rsidP="00155707">
                  <w:pPr>
                    <w:rPr>
                      <w:rFonts w:eastAsia="Calibri"/>
                      <w:sz w:val="18"/>
                      <w:szCs w:val="18"/>
                      <w:lang w:eastAsia="en-US"/>
                    </w:rPr>
                  </w:pPr>
                </w:p>
                <w:p w14:paraId="5DA17B88" w14:textId="2DE04DBC" w:rsidR="00A94BB2" w:rsidRDefault="00A94BB2" w:rsidP="00155707">
                  <w:pPr>
                    <w:rPr>
                      <w:rFonts w:eastAsia="Calibri"/>
                      <w:sz w:val="18"/>
                      <w:szCs w:val="18"/>
                      <w:lang w:eastAsia="en-US"/>
                    </w:rPr>
                  </w:pPr>
                  <w:r w:rsidRPr="005B532A">
                    <w:rPr>
                      <w:rFonts w:eastAsia="Calibri"/>
                      <w:sz w:val="18"/>
                      <w:szCs w:val="18"/>
                      <w:lang w:eastAsia="en-US"/>
                    </w:rPr>
                    <w:t>Yeterlik Değerlendirmesinde Esas Alınması İstenen Yıllar</w:t>
                  </w:r>
                </w:p>
                <w:p w14:paraId="170D0226" w14:textId="77777777" w:rsidR="00A94BB2" w:rsidRDefault="00A94BB2" w:rsidP="00155707">
                  <w:pPr>
                    <w:rPr>
                      <w:rFonts w:eastAsia="Calibri"/>
                      <w:sz w:val="18"/>
                      <w:szCs w:val="18"/>
                      <w:lang w:eastAsia="en-US"/>
                    </w:rPr>
                  </w:pPr>
                </w:p>
              </w:tc>
              <w:tc>
                <w:tcPr>
                  <w:tcW w:w="2269" w:type="dxa"/>
                </w:tcPr>
                <w:p w14:paraId="69183B4D"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tcPr>
                <w:p w14:paraId="61A7EE75" w14:textId="77777777" w:rsidR="00A94BB2" w:rsidRDefault="00A94BB2">
                  <w:pPr>
                    <w:rPr>
                      <w:rFonts w:eastAsia="Calibri"/>
                      <w:sz w:val="18"/>
                      <w:szCs w:val="18"/>
                      <w:lang w:eastAsia="en-US"/>
                    </w:rPr>
                  </w:pPr>
                </w:p>
              </w:tc>
            </w:tr>
            <w:tr w:rsidR="00A94BB2" w:rsidRPr="00822B12" w14:paraId="609F2400" w14:textId="77777777" w:rsidTr="00400A63">
              <w:trPr>
                <w:trHeight w:val="152"/>
              </w:trPr>
              <w:tc>
                <w:tcPr>
                  <w:tcW w:w="1698" w:type="dxa"/>
                  <w:vMerge/>
                  <w:vAlign w:val="center"/>
                </w:tcPr>
                <w:p w14:paraId="55A0529C" w14:textId="77777777" w:rsidR="00A94BB2" w:rsidRDefault="00A94BB2" w:rsidP="00F66836">
                  <w:pPr>
                    <w:jc w:val="center"/>
                    <w:rPr>
                      <w:rFonts w:eastAsia="Calibri"/>
                      <w:sz w:val="18"/>
                      <w:szCs w:val="18"/>
                      <w:lang w:eastAsia="en-US"/>
                    </w:rPr>
                  </w:pPr>
                </w:p>
              </w:tc>
              <w:tc>
                <w:tcPr>
                  <w:tcW w:w="2833" w:type="dxa"/>
                  <w:vAlign w:val="center"/>
                </w:tcPr>
                <w:p w14:paraId="2BD531D7" w14:textId="77777777" w:rsidR="00A94BB2" w:rsidRDefault="00A94BB2" w:rsidP="00F66836">
                  <w:pPr>
                    <w:rPr>
                      <w:rFonts w:eastAsia="Calibri"/>
                      <w:sz w:val="18"/>
                      <w:szCs w:val="18"/>
                      <w:lang w:eastAsia="en-US"/>
                    </w:rPr>
                  </w:pPr>
                </w:p>
                <w:p w14:paraId="09A0FBD9" w14:textId="77777777" w:rsidR="00A94BB2" w:rsidRDefault="00A94BB2" w:rsidP="00F66836">
                  <w:pPr>
                    <w:rPr>
                      <w:rFonts w:eastAsia="Calibri"/>
                      <w:sz w:val="18"/>
                      <w:szCs w:val="18"/>
                      <w:lang w:eastAsia="en-US"/>
                    </w:rPr>
                  </w:pPr>
                  <w:r w:rsidRPr="00760F4B">
                    <w:rPr>
                      <w:rFonts w:eastAsia="Calibri"/>
                      <w:sz w:val="18"/>
                      <w:szCs w:val="18"/>
                      <w:lang w:eastAsia="en-US"/>
                    </w:rPr>
                    <w:t xml:space="preserve">Bilanço Bilgilerine İlişkin Diğer Belgeler </w:t>
                  </w:r>
                </w:p>
                <w:p w14:paraId="028E0590" w14:textId="2CE5DECC" w:rsidR="00A94BB2" w:rsidRDefault="00A94BB2" w:rsidP="00F66836">
                  <w:pPr>
                    <w:rPr>
                      <w:rFonts w:eastAsia="Calibri"/>
                      <w:sz w:val="18"/>
                      <w:szCs w:val="18"/>
                      <w:lang w:eastAsia="en-US"/>
                    </w:rPr>
                  </w:pPr>
                </w:p>
              </w:tc>
              <w:tc>
                <w:tcPr>
                  <w:tcW w:w="2269" w:type="dxa"/>
                </w:tcPr>
                <w:p w14:paraId="1D782574" w14:textId="77777777" w:rsidR="00A94BB2" w:rsidRDefault="00A94BB2"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EB364FD" w14:textId="77777777" w:rsidR="00A94BB2" w:rsidRDefault="00A94BB2" w:rsidP="00760F4B">
                  <w:pPr>
                    <w:rPr>
                      <w:rFonts w:eastAsia="Calibri"/>
                      <w:sz w:val="18"/>
                      <w:szCs w:val="18"/>
                      <w:lang w:eastAsia="en-US"/>
                    </w:rPr>
                  </w:pPr>
                </w:p>
                <w:p w14:paraId="5BBD21CE" w14:textId="1CC22287" w:rsidR="00A94BB2" w:rsidRPr="00760F4B" w:rsidRDefault="00A94BB2" w:rsidP="00760F4B">
                  <w:pPr>
                    <w:rPr>
                      <w:rFonts w:eastAsia="Calibri"/>
                      <w:sz w:val="18"/>
                      <w:szCs w:val="18"/>
                      <w:lang w:eastAsia="en-US"/>
                    </w:rPr>
                  </w:pPr>
                  <w:r w:rsidRPr="00760F4B">
                    <w:rPr>
                      <w:rFonts w:eastAsia="Calibri"/>
                      <w:sz w:val="18"/>
                      <w:szCs w:val="18"/>
                      <w:lang w:eastAsia="en-US"/>
                    </w:rPr>
                    <w:t xml:space="preserve">İdari Şartnamenin 7.4.2 maddesi </w:t>
                  </w:r>
                </w:p>
                <w:p w14:paraId="39C91495" w14:textId="77777777" w:rsidR="00A94BB2" w:rsidRDefault="00A94BB2" w:rsidP="00760F4B">
                  <w:pPr>
                    <w:rPr>
                      <w:rFonts w:eastAsia="Calibri"/>
                      <w:sz w:val="18"/>
                      <w:szCs w:val="18"/>
                      <w:lang w:eastAsia="en-US"/>
                    </w:rPr>
                  </w:pPr>
                </w:p>
                <w:p w14:paraId="25419934" w14:textId="34BFB680" w:rsidR="00A94BB2" w:rsidRDefault="00A94BB2" w:rsidP="00760F4B">
                  <w:pPr>
                    <w:rPr>
                      <w:rFonts w:eastAsia="Calibri"/>
                      <w:sz w:val="18"/>
                      <w:szCs w:val="18"/>
                      <w:lang w:eastAsia="en-US"/>
                    </w:rPr>
                  </w:pPr>
                  <w:r w:rsidRPr="00760F4B">
                    <w:rPr>
                      <w:rFonts w:eastAsia="Calibri"/>
                      <w:sz w:val="18"/>
                      <w:szCs w:val="18"/>
                      <w:lang w:eastAsia="en-US"/>
                    </w:rPr>
                    <w:t>İdari Şartnamede yer alan düzenlemeler çerçevesinde, bilanço veya eşdeğer belgeler sunulacaktır.</w:t>
                  </w:r>
                </w:p>
              </w:tc>
            </w:tr>
            <w:tr w:rsidR="00760F4B" w14:paraId="71ECB886" w14:textId="77777777" w:rsidTr="00400A63">
              <w:trPr>
                <w:trHeight w:val="1102"/>
              </w:trPr>
              <w:tc>
                <w:tcPr>
                  <w:tcW w:w="1698" w:type="dxa"/>
                  <w:vMerge w:val="restart"/>
                  <w:vAlign w:val="center"/>
                </w:tcPr>
                <w:p w14:paraId="35EB43D8" w14:textId="77777777" w:rsidR="00760F4B" w:rsidRDefault="00760F4B" w:rsidP="00F66836">
                  <w:pPr>
                    <w:jc w:val="center"/>
                    <w:rPr>
                      <w:rFonts w:eastAsia="Calibri"/>
                      <w:sz w:val="18"/>
                      <w:szCs w:val="18"/>
                      <w:lang w:eastAsia="en-US"/>
                    </w:rPr>
                  </w:pPr>
                  <w:r>
                    <w:rPr>
                      <w:rFonts w:eastAsia="Calibri"/>
                      <w:sz w:val="18"/>
                      <w:szCs w:val="18"/>
                      <w:lang w:eastAsia="en-US"/>
                    </w:rPr>
                    <w:lastRenderedPageBreak/>
                    <w:t>İş Hacmi Bilgileri</w:t>
                  </w:r>
                </w:p>
              </w:tc>
              <w:tc>
                <w:tcPr>
                  <w:tcW w:w="2833" w:type="dxa"/>
                  <w:vAlign w:val="center"/>
                </w:tcPr>
                <w:p w14:paraId="2FFFA0AD" w14:textId="6DC84F46" w:rsidR="00760F4B" w:rsidRDefault="00760F4B" w:rsidP="00F66836">
                  <w:pPr>
                    <w:rPr>
                      <w:rFonts w:eastAsia="Calibri"/>
                      <w:sz w:val="18"/>
                      <w:szCs w:val="18"/>
                      <w:lang w:eastAsia="en-US"/>
                    </w:rPr>
                  </w:pPr>
                  <w:r w:rsidRPr="00103FEB">
                    <w:rPr>
                      <w:rFonts w:eastAsia="Calibri"/>
                      <w:sz w:val="18"/>
                      <w:szCs w:val="18"/>
                      <w:lang w:eastAsia="en-US"/>
                    </w:rPr>
                    <w:t>Yeterlik Değerlendirmesine Esas Alınması İstenen Yıllar ve Bu Yıllara Ait Toplam Ciro</w:t>
                  </w:r>
                </w:p>
              </w:tc>
              <w:tc>
                <w:tcPr>
                  <w:tcW w:w="2269" w:type="dxa"/>
                </w:tcPr>
                <w:p w14:paraId="7CC3C856"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7428B613" w14:textId="77777777" w:rsidR="00760F4B" w:rsidRDefault="00760F4B" w:rsidP="00760F4B">
                  <w:pPr>
                    <w:rPr>
                      <w:rFonts w:eastAsia="Calibri"/>
                      <w:sz w:val="18"/>
                      <w:szCs w:val="18"/>
                      <w:lang w:eastAsia="en-US"/>
                    </w:rPr>
                  </w:pPr>
                </w:p>
                <w:p w14:paraId="0C62D2F1" w14:textId="65727CC0"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4643201F" w14:textId="77777777" w:rsidR="00760F4B" w:rsidRPr="00760F4B" w:rsidRDefault="00760F4B" w:rsidP="00760F4B">
                  <w:pPr>
                    <w:rPr>
                      <w:rFonts w:eastAsia="Calibri"/>
                      <w:sz w:val="18"/>
                      <w:szCs w:val="18"/>
                      <w:lang w:eastAsia="en-US"/>
                    </w:rPr>
                  </w:pPr>
                </w:p>
                <w:p w14:paraId="1DA48887" w14:textId="77777777"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toplam</w:t>
                  </w:r>
                </w:p>
                <w:p w14:paraId="5E7C666E" w14:textId="77777777" w:rsidR="00760F4B" w:rsidRDefault="00760F4B" w:rsidP="00760F4B">
                  <w:pPr>
                    <w:rPr>
                      <w:rFonts w:eastAsia="Calibri"/>
                      <w:sz w:val="18"/>
                      <w:szCs w:val="18"/>
                      <w:lang w:eastAsia="en-US"/>
                    </w:rPr>
                  </w:pPr>
                  <w:proofErr w:type="gramStart"/>
                  <w:r w:rsidRPr="00760F4B">
                    <w:rPr>
                      <w:rFonts w:eastAsia="Calibri"/>
                      <w:sz w:val="18"/>
                      <w:szCs w:val="18"/>
                      <w:lang w:eastAsia="en-US"/>
                    </w:rPr>
                    <w:t>ciro</w:t>
                  </w:r>
                  <w:proofErr w:type="gramEnd"/>
                  <w:r w:rsidRPr="00760F4B">
                    <w:rPr>
                      <w:rFonts w:eastAsia="Calibri"/>
                      <w:sz w:val="18"/>
                      <w:szCs w:val="18"/>
                      <w:lang w:eastAsia="en-US"/>
                    </w:rPr>
                    <w:t xml:space="preserve"> tutarı sorgulanarak yansıtılacaktır.</w:t>
                  </w:r>
                </w:p>
                <w:p w14:paraId="1F8CA6EE" w14:textId="1240E420" w:rsidR="00760F4B" w:rsidRDefault="00760F4B" w:rsidP="00760F4B">
                  <w:pPr>
                    <w:rPr>
                      <w:rFonts w:eastAsia="Calibri"/>
                      <w:sz w:val="18"/>
                      <w:szCs w:val="18"/>
                      <w:lang w:eastAsia="en-US"/>
                    </w:rPr>
                  </w:pPr>
                </w:p>
              </w:tc>
            </w:tr>
            <w:tr w:rsidR="00760F4B" w14:paraId="1CB0C580" w14:textId="77777777" w:rsidTr="00400A63">
              <w:trPr>
                <w:trHeight w:val="1102"/>
              </w:trPr>
              <w:tc>
                <w:tcPr>
                  <w:tcW w:w="1698" w:type="dxa"/>
                  <w:vMerge/>
                  <w:vAlign w:val="center"/>
                </w:tcPr>
                <w:p w14:paraId="204EFF33" w14:textId="77777777" w:rsidR="00760F4B" w:rsidRDefault="00760F4B" w:rsidP="00F66836">
                  <w:pPr>
                    <w:jc w:val="center"/>
                    <w:rPr>
                      <w:rFonts w:eastAsia="Calibri"/>
                      <w:sz w:val="18"/>
                      <w:szCs w:val="18"/>
                      <w:lang w:eastAsia="en-US"/>
                    </w:rPr>
                  </w:pPr>
                </w:p>
              </w:tc>
              <w:tc>
                <w:tcPr>
                  <w:tcW w:w="2833" w:type="dxa"/>
                  <w:vAlign w:val="center"/>
                </w:tcPr>
                <w:p w14:paraId="11A110BC" w14:textId="53E1E1A3" w:rsidR="00760F4B" w:rsidRPr="00103FEB" w:rsidRDefault="00760F4B" w:rsidP="00F66836">
                  <w:pPr>
                    <w:rPr>
                      <w:rFonts w:eastAsia="Calibri"/>
                      <w:sz w:val="18"/>
                      <w:szCs w:val="18"/>
                      <w:lang w:eastAsia="en-US"/>
                    </w:rPr>
                  </w:pPr>
                  <w:r w:rsidRPr="00760F4B">
                    <w:rPr>
                      <w:rFonts w:eastAsia="Calibri"/>
                      <w:sz w:val="18"/>
                      <w:szCs w:val="18"/>
                      <w:lang w:eastAsia="en-US"/>
                    </w:rPr>
                    <w:t>İş Hacmi Bilgilerine İlişkin Diğer Belgeler</w:t>
                  </w:r>
                </w:p>
              </w:tc>
              <w:tc>
                <w:tcPr>
                  <w:tcW w:w="2269" w:type="dxa"/>
                </w:tcPr>
                <w:p w14:paraId="6B0BC187"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2EF1B3C" w14:textId="77777777"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39F4AD9B" w14:textId="77777777" w:rsidR="00760F4B" w:rsidRPr="00760F4B" w:rsidRDefault="00760F4B" w:rsidP="00760F4B">
                  <w:pPr>
                    <w:rPr>
                      <w:rFonts w:eastAsia="Calibri"/>
                      <w:sz w:val="18"/>
                      <w:szCs w:val="18"/>
                      <w:lang w:eastAsia="en-US"/>
                    </w:rPr>
                  </w:pPr>
                </w:p>
                <w:p w14:paraId="3D0C51F4" w14:textId="7AB4E0DB"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belgeler sunulacaktır.</w:t>
                  </w:r>
                </w:p>
              </w:tc>
            </w:tr>
          </w:tbl>
          <w:p w14:paraId="216FD223" w14:textId="77777777" w:rsidR="00822B12" w:rsidRDefault="00822B12">
            <w:pPr>
              <w:overflowPunct w:val="0"/>
              <w:autoSpaceDE w:val="0"/>
              <w:autoSpaceDN w:val="0"/>
              <w:adjustRightInd w:val="0"/>
              <w:jc w:val="both"/>
              <w:textAlignment w:val="baseline"/>
              <w:rPr>
                <w:rFonts w:eastAsia="Calibri"/>
                <w:sz w:val="18"/>
                <w:szCs w:val="18"/>
                <w:lang w:eastAsia="en-US"/>
              </w:rPr>
            </w:pPr>
          </w:p>
        </w:tc>
      </w:tr>
      <w:tr w:rsidR="00784F4B" w:rsidRPr="006A1CDE" w14:paraId="271A7F76" w14:textId="77777777" w:rsidTr="00036031">
        <w:trPr>
          <w:trHeight w:val="384"/>
        </w:trPr>
        <w:tc>
          <w:tcPr>
            <w:tcW w:w="1086" w:type="pct"/>
          </w:tcPr>
          <w:p w14:paraId="72D5A1C7" w14:textId="77777777" w:rsidR="00784F4B" w:rsidRDefault="00784F4B" w:rsidP="00760F4B">
            <w:pPr>
              <w:spacing w:line="276" w:lineRule="auto"/>
              <w:jc w:val="center"/>
              <w:rPr>
                <w:rFonts w:eastAsia="Calibri"/>
                <w:sz w:val="18"/>
                <w:szCs w:val="18"/>
                <w:lang w:eastAsia="en-US"/>
              </w:rPr>
            </w:pPr>
          </w:p>
          <w:p w14:paraId="53140818" w14:textId="77777777" w:rsidR="00784F4B" w:rsidRDefault="00784F4B" w:rsidP="00760F4B">
            <w:pPr>
              <w:spacing w:line="276" w:lineRule="auto"/>
              <w:jc w:val="center"/>
              <w:rPr>
                <w:rFonts w:eastAsia="Calibri"/>
                <w:sz w:val="18"/>
                <w:szCs w:val="18"/>
                <w:lang w:eastAsia="en-US"/>
              </w:rPr>
            </w:pPr>
            <w:r w:rsidRPr="00760F4B">
              <w:rPr>
                <w:rFonts w:eastAsia="Calibri"/>
                <w:sz w:val="18"/>
                <w:szCs w:val="18"/>
                <w:lang w:eastAsia="en-US"/>
              </w:rPr>
              <w:t>DİĞER BELGELER</w:t>
            </w:r>
          </w:p>
          <w:p w14:paraId="07D46769" w14:textId="08AC3FB0" w:rsidR="00784F4B" w:rsidRPr="009A28E5" w:rsidRDefault="00784F4B" w:rsidP="00760F4B">
            <w:pPr>
              <w:spacing w:line="276" w:lineRule="auto"/>
              <w:jc w:val="center"/>
              <w:rPr>
                <w:rFonts w:eastAsia="Calibri"/>
                <w:sz w:val="18"/>
                <w:szCs w:val="18"/>
                <w:lang w:eastAsia="en-US"/>
              </w:rPr>
            </w:pPr>
          </w:p>
        </w:tc>
        <w:tc>
          <w:tcPr>
            <w:tcW w:w="652" w:type="pct"/>
          </w:tcPr>
          <w:p w14:paraId="54F063F9" w14:textId="699283AB" w:rsidR="00784F4B" w:rsidRPr="00C91F55" w:rsidRDefault="00784F4B" w:rsidP="00784F4B">
            <w:pPr>
              <w:rPr>
                <w:rFonts w:eastAsia="Calibri"/>
                <w:sz w:val="18"/>
                <w:szCs w:val="18"/>
                <w:lang w:eastAsia="en-US"/>
              </w:rPr>
            </w:pPr>
            <w:r w:rsidRPr="00AB1F07">
              <w:rPr>
                <w:rFonts w:eastAsia="Calibri"/>
                <w:sz w:val="18"/>
                <w:szCs w:val="18"/>
                <w:lang w:eastAsia="en-US"/>
              </w:rPr>
              <w:t>İdari Şartnamenin 7nci Maddesi Dışındaki Maddeleri ile Teknik Şartnamede Belirtilen Belgeler</w:t>
            </w:r>
          </w:p>
        </w:tc>
        <w:tc>
          <w:tcPr>
            <w:tcW w:w="1958" w:type="pct"/>
            <w:gridSpan w:val="2"/>
          </w:tcPr>
          <w:tbl>
            <w:tblPr>
              <w:tblStyle w:val="TableGrid"/>
              <w:tblW w:w="5098" w:type="dxa"/>
              <w:tblLayout w:type="fixed"/>
              <w:tblLook w:val="04A0" w:firstRow="1" w:lastRow="0" w:firstColumn="1" w:lastColumn="0" w:noHBand="0" w:noVBand="1"/>
            </w:tblPr>
            <w:tblGrid>
              <w:gridCol w:w="2826"/>
              <w:gridCol w:w="2272"/>
            </w:tblGrid>
            <w:tr w:rsidR="00784F4B" w14:paraId="1B437984" w14:textId="77777777" w:rsidTr="00036031">
              <w:trPr>
                <w:trHeight w:val="37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KAPSAM DIŞI</w:t>
                  </w:r>
                </w:p>
              </w:tc>
              <w:tc>
                <w:tcPr>
                  <w:tcW w:w="2272" w:type="dxa"/>
                </w:tcPr>
                <w:p w14:paraId="09B90D64" w14:textId="1D9A305D" w:rsidR="00784F4B" w:rsidRDefault="00FD2FFA" w:rsidP="00552351">
                  <w:pPr>
                    <w:rPr>
                      <w:rFonts w:eastAsia="Calibri"/>
                      <w:sz w:val="18"/>
                      <w:szCs w:val="18"/>
                      <w:lang w:eastAsia="en-US"/>
                    </w:rPr>
                  </w:pPr>
                  <w:r w:rsidRPr="00FD2FFA">
                    <w:rPr>
                      <w:rFonts w:eastAsia="Calibri"/>
                      <w:sz w:val="18"/>
                      <w:szCs w:val="18"/>
                      <w:lang w:eastAsia="en-US"/>
                    </w:rPr>
                    <w:t/>
                  </w:r>
                </w:p>
              </w:tc>
            </w:tr>
            <w:tr w:rsidR="00784F4B" w14:paraId="1B437984" w14:textId="77777777" w:rsidTr="00036031">
              <w:trPr>
                <w:trHeight w:val="37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UTS KAYDI</w:t>
                  </w:r>
                </w:p>
              </w:tc>
              <w:tc>
                <w:tcPr>
                  <w:tcW w:w="2272" w:type="dxa"/>
                </w:tcPr>
                <w:p w14:paraId="09B90D64" w14:textId="1D9A305D" w:rsidR="00784F4B" w:rsidRDefault="00FD2FFA" w:rsidP="00552351">
                  <w:pPr>
                    <w:rPr>
                      <w:rFonts w:eastAsia="Calibri"/>
                      <w:sz w:val="18"/>
                      <w:szCs w:val="18"/>
                      <w:lang w:eastAsia="en-US"/>
                    </w:rPr>
                  </w:pPr>
                  <w:r w:rsidRPr="00FD2FFA">
                    <w:rPr>
                      <w:rFonts w:eastAsia="Calibri"/>
                      <w:sz w:val="18"/>
                      <w:szCs w:val="18"/>
                      <w:lang w:eastAsia="en-US"/>
                    </w:rPr>
                    <w:t/>
                  </w:r>
                </w:p>
              </w:tc>
            </w:tr>
          </w:tbl>
          <w:p w14:paraId="021608BF" w14:textId="77777777" w:rsidR="00784F4B" w:rsidRPr="00C91F55" w:rsidRDefault="00784F4B" w:rsidP="00552351">
            <w:pPr>
              <w:rPr>
                <w:rFonts w:eastAsia="Calibri"/>
                <w:sz w:val="18"/>
                <w:szCs w:val="18"/>
                <w:lang w:eastAsia="en-US"/>
              </w:rPr>
            </w:pPr>
          </w:p>
        </w:tc>
        <w:tc>
          <w:tcPr>
            <w:tcW w:w="1304" w:type="pct"/>
          </w:tcPr>
          <w:p w14:paraId="01652695" w14:textId="77777777" w:rsidR="00784F4B" w:rsidRDefault="00784F4B" w:rsidP="00552351">
            <w:pPr>
              <w:rPr>
                <w:rFonts w:eastAsia="Calibri"/>
                <w:sz w:val="18"/>
                <w:szCs w:val="18"/>
                <w:lang w:eastAsia="en-US"/>
              </w:rPr>
            </w:pPr>
          </w:p>
          <w:p w14:paraId="2085DE26" w14:textId="77777777" w:rsidR="00784F4B" w:rsidRDefault="00784F4B" w:rsidP="00784F4B">
            <w:pPr>
              <w:rPr>
                <w:rFonts w:eastAsia="Calibri"/>
                <w:sz w:val="18"/>
                <w:szCs w:val="18"/>
                <w:lang w:eastAsia="en-US"/>
              </w:rPr>
            </w:pPr>
            <w:r>
              <w:rPr>
                <w:rFonts w:eastAsia="Calibri"/>
                <w:sz w:val="18"/>
                <w:szCs w:val="18"/>
                <w:lang w:eastAsia="en-US"/>
              </w:rPr>
              <w:t>İdari Şartnamenin 7.5.4 maddesi</w:t>
            </w:r>
          </w:p>
          <w:p w14:paraId="4AA81E3D" w14:textId="77777777" w:rsidR="00784F4B" w:rsidRDefault="00784F4B" w:rsidP="00784F4B">
            <w:pPr>
              <w:rPr>
                <w:rFonts w:eastAsia="Calibri"/>
                <w:sz w:val="18"/>
                <w:szCs w:val="18"/>
                <w:lang w:eastAsia="en-US"/>
              </w:rPr>
            </w:pPr>
          </w:p>
          <w:p w14:paraId="57B79BBE" w14:textId="77777777" w:rsidR="00784F4B" w:rsidRDefault="00784F4B" w:rsidP="00784F4B">
            <w:pPr>
              <w:rPr>
                <w:rFonts w:eastAsia="Calibri"/>
                <w:sz w:val="18"/>
                <w:szCs w:val="18"/>
                <w:lang w:eastAsia="en-US"/>
              </w:rPr>
            </w:pPr>
            <w:r w:rsidRPr="000C3DF9">
              <w:rPr>
                <w:rFonts w:eastAsia="Calibri"/>
                <w:sz w:val="18"/>
                <w:szCs w:val="18"/>
                <w:lang w:eastAsia="en-US"/>
              </w:rPr>
              <w:t xml:space="preserve">İdari Şartnamenin </w:t>
            </w:r>
            <w:proofErr w:type="gramStart"/>
            <w:r w:rsidRPr="000C3DF9">
              <w:rPr>
                <w:rFonts w:eastAsia="Calibri"/>
                <w:sz w:val="18"/>
                <w:szCs w:val="18"/>
                <w:lang w:eastAsia="en-US"/>
              </w:rPr>
              <w:t xml:space="preserve">7 </w:t>
            </w:r>
            <w:proofErr w:type="spellStart"/>
            <w:r w:rsidRPr="000C3DF9">
              <w:rPr>
                <w:rFonts w:eastAsia="Calibri"/>
                <w:sz w:val="18"/>
                <w:szCs w:val="18"/>
                <w:lang w:eastAsia="en-US"/>
              </w:rPr>
              <w:t>nci</w:t>
            </w:r>
            <w:proofErr w:type="spellEnd"/>
            <w:proofErr w:type="gramEnd"/>
            <w:r w:rsidRPr="000C3DF9">
              <w:rPr>
                <w:rFonts w:eastAsia="Calibri"/>
                <w:sz w:val="18"/>
                <w:szCs w:val="18"/>
                <w:lang w:eastAsia="en-US"/>
              </w:rPr>
              <w:t xml:space="preserve"> maddesi dışındaki maddeleri ile teknik şartnamede belirtilen belgeler sunulacaktır.</w:t>
            </w:r>
          </w:p>
          <w:p w14:paraId="161B0EFB" w14:textId="50CCB138" w:rsidR="00784F4B" w:rsidRPr="00C91F55" w:rsidRDefault="00784F4B" w:rsidP="00784F4B">
            <w:pPr>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